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6018" w14:textId="78E9441B" w:rsidR="00AD46DB" w:rsidRDefault="00EC7D71" w:rsidP="00EC7D71">
      <w:pPr>
        <w:pStyle w:val="Heading1"/>
        <w:keepNext/>
        <w:spacing w:before="330" w:line="271" w:lineRule="auto"/>
        <w:jc w:val="center"/>
      </w:pPr>
      <w:bookmarkStart w:id="0" w:name="exponential_growth_and_decay"/>
      <w:r w:rsidRPr="00EC7D71">
        <w:rPr>
          <w:sz w:val="42"/>
        </w:rPr>
        <w:t>Math 1220 #</w:t>
      </w:r>
      <w:r>
        <w:rPr>
          <w:sz w:val="42"/>
        </w:rPr>
        <w:t>5</w:t>
      </w:r>
      <w:r>
        <w:rPr>
          <w:sz w:val="42"/>
        </w:rPr>
        <w:br/>
        <w:t>Exponential Growth and Decay</w:t>
      </w:r>
      <w:bookmarkEnd w:id="0"/>
    </w:p>
    <w:p w14:paraId="5AAC6956" w14:textId="77777777" w:rsidR="00AD46DB" w:rsidRDefault="008600F4">
      <w:pPr>
        <w:keepNext/>
        <w:spacing w:before="330" w:line="271" w:lineRule="auto"/>
        <w:outlineLvl w:val="1"/>
      </w:pPr>
      <w:bookmarkStart w:id="1" w:name="population_growth"/>
      <w:r>
        <w:rPr>
          <w:b/>
          <w:sz w:val="42"/>
        </w:rPr>
        <w:t>Population Growth</w:t>
      </w:r>
      <w:bookmarkEnd w:id="1"/>
    </w:p>
    <w:p w14:paraId="2351E24F" w14:textId="77777777" w:rsidR="00AD46DB" w:rsidRDefault="008600F4">
      <w:pPr>
        <w:spacing w:after="220"/>
      </w:pPr>
      <w:r>
        <w:t xml:space="preserve">Let </w:t>
      </w:r>
      <m:oMath>
        <m:sSub>
          <m:sSubPr>
            <m:ctrlPr>
              <w:rPr>
                <w:rFonts w:ascii="Cambria Math" w:hAnsi="Cambria Math"/>
              </w:rPr>
            </m:ctrlPr>
          </m:sSubPr>
          <m:e>
            <m:r>
              <w:rPr>
                <w:rFonts w:ascii="Cambria Math" w:hAnsi="Cambria Math"/>
              </w:rPr>
              <m:t>y</m:t>
            </m:r>
          </m:e>
          <m:sub>
            <m:r>
              <m:rPr>
                <m:sty m:val="p"/>
              </m:rPr>
              <w:rPr>
                <w:rFonts w:ascii="Cambria Math" w:hAnsi="Cambria Math"/>
              </w:rPr>
              <m:t>0</m:t>
            </m:r>
          </m:sub>
        </m:sSub>
        <m:r>
          <m:rPr>
            <m:sty m:val="p"/>
          </m:rPr>
          <w:rPr>
            <w:rFonts w:ascii="Cambria Math" w:hAnsi="Cambria Math"/>
          </w:rPr>
          <m:t>=</m:t>
        </m:r>
      </m:oMath>
      <w:r>
        <w:t xml:space="preserve"> population at the start.</w:t>
      </w:r>
      <w:r>
        <w:br/>
      </w:r>
      <m:oMath>
        <m:r>
          <w:rPr>
            <w:rFonts w:ascii="Cambria Math" w:hAnsi="Cambria Math"/>
          </w:rPr>
          <m:t>dy</m:t>
        </m:r>
        <m:r>
          <m:rPr>
            <m:sty m:val="p"/>
          </m:rPr>
          <w:rPr>
            <w:rFonts w:ascii="Cambria Math" w:hAnsi="Cambria Math"/>
          </w:rPr>
          <m:t>/</m:t>
        </m:r>
        <m:r>
          <w:rPr>
            <w:rFonts w:ascii="Cambria Math" w:hAnsi="Cambria Math"/>
          </w:rPr>
          <m:t>dt</m:t>
        </m:r>
        <m:r>
          <m:rPr>
            <m:sty m:val="p"/>
          </m:rPr>
          <w:rPr>
            <w:rFonts w:ascii="Cambria Math" w:hAnsi="Cambria Math"/>
          </w:rPr>
          <m:t>=</m:t>
        </m:r>
        <m:r>
          <w:rPr>
            <w:rFonts w:ascii="Cambria Math" w:hAnsi="Cambria Math"/>
          </w:rPr>
          <m:t>ky</m:t>
        </m:r>
      </m:oMath>
      <w:r>
        <w:t xml:space="preserve"> is a reasonable assumption.</w:t>
      </w:r>
      <w:r>
        <w:br/>
      </w:r>
      <w:r>
        <w:t>I.e. The rate of growth or decay is proportional to the population.</w:t>
      </w:r>
    </w:p>
    <w:p w14:paraId="1763B0EA" w14:textId="77777777" w:rsidR="00AD46DB" w:rsidRDefault="00AD46DB">
      <w:pPr>
        <w:spacing w:after="0"/>
      </w:pPr>
    </w:p>
    <w:p w14:paraId="6686CE08" w14:textId="77777777" w:rsidR="00AD46DB" w:rsidRDefault="00AD46DB">
      <w:pPr>
        <w:spacing w:after="0"/>
      </w:pPr>
    </w:p>
    <w:p w14:paraId="5C9AFE9E" w14:textId="77777777" w:rsidR="00AD46DB" w:rsidRDefault="00AD46DB">
      <w:pPr>
        <w:spacing w:after="0"/>
      </w:pPr>
    </w:p>
    <w:p w14:paraId="4126DAF3" w14:textId="77777777" w:rsidR="00AD46DB" w:rsidRDefault="00AD46DB">
      <w:pPr>
        <w:spacing w:after="0"/>
      </w:pPr>
    </w:p>
    <w:p w14:paraId="0AAA772B" w14:textId="77777777" w:rsidR="00AD46DB" w:rsidRDefault="00AD46DB">
      <w:pPr>
        <w:spacing w:after="0"/>
      </w:pPr>
    </w:p>
    <w:p w14:paraId="48AA6CC2" w14:textId="77777777" w:rsidR="00AD46DB" w:rsidRDefault="00AD46DB">
      <w:pPr>
        <w:spacing w:after="0"/>
      </w:pPr>
    </w:p>
    <w:p w14:paraId="4D1B3AE6" w14:textId="77777777" w:rsidR="00AD46DB" w:rsidRDefault="00AD46DB">
      <w:pPr>
        <w:spacing w:after="0"/>
      </w:pPr>
    </w:p>
    <w:p w14:paraId="28AF5D07" w14:textId="77777777" w:rsidR="00AD46DB" w:rsidRDefault="008600F4">
      <w:pPr>
        <w:pageBreakBefore/>
        <w:spacing w:after="220"/>
      </w:pPr>
      <w:r>
        <w:lastRenderedPageBreak/>
        <w:t xml:space="preserve">There are other factors that affect population, like resources and land. </w:t>
      </w:r>
      <w:proofErr w:type="gramStart"/>
      <w:r>
        <w:t>So</w:t>
      </w:r>
      <w:proofErr w:type="gramEnd"/>
      <w:r>
        <w:t xml:space="preserve"> population </w:t>
      </w:r>
      <w:proofErr w:type="gramStart"/>
      <w:r>
        <w:t>more</w:t>
      </w:r>
      <w:proofErr w:type="gramEnd"/>
      <w:r>
        <w:t xml:space="preserve"> likely </w:t>
      </w:r>
      <w:proofErr w:type="gramStart"/>
      <w:r>
        <w:t>follows</w:t>
      </w:r>
      <w:proofErr w:type="gramEnd"/>
      <w:r>
        <w:t xml:space="preserve"> a logistic model like this.</w:t>
      </w:r>
      <w:r>
        <w:br/>
      </w:r>
    </w:p>
    <w:p w14:paraId="6A90965B" w14:textId="77777777" w:rsidR="00AD46DB" w:rsidRDefault="008600F4">
      <w:pPr>
        <w:jc w:val="center"/>
      </w:pPr>
      <w:r>
        <w:rPr>
          <w:noProof/>
        </w:rPr>
        <w:drawing>
          <wp:inline distT="0" distB="0" distL="0" distR="0" wp14:anchorId="3833424B" wp14:editId="218307DF">
            <wp:extent cx="2762250" cy="1714500"/>
            <wp:effectExtent l="0" t="0" r="0" b="0"/>
            <wp:docPr id="1" name="image-887ac90d54faebecce8c17d67da418cc0ba6d34d.jpg" descr="Population-versus-time graph showing S-shaped growth leveling off at a horizontal asymptote y=C (carrying capacity)."/>
            <wp:cNvGraphicFramePr/>
            <a:graphic xmlns:a="http://schemas.openxmlformats.org/drawingml/2006/main">
              <a:graphicData uri="http://schemas.openxmlformats.org/drawingml/2006/picture">
                <pic:pic xmlns:pic="http://schemas.openxmlformats.org/drawingml/2006/picture">
                  <pic:nvPicPr>
                    <pic:cNvPr id="1" name="image-887ac90d54faebecce8c17d67da418cc0ba6d34d.jpg"/>
                    <pic:cNvPicPr/>
                  </pic:nvPicPr>
                  <pic:blipFill>
                    <a:blip r:embed="rId4" cstate="print"/>
                    <a:srcRect/>
                    <a:stretch>
                      <a:fillRect/>
                    </a:stretch>
                  </pic:blipFill>
                  <pic:spPr>
                    <a:xfrm>
                      <a:off x="0" y="0"/>
                      <a:ext cx="2762250" cy="1714500"/>
                    </a:xfrm>
                    <a:prstGeom prst="rect">
                      <a:avLst/>
                    </a:prstGeom>
                  </pic:spPr>
                </pic:pic>
              </a:graphicData>
            </a:graphic>
          </wp:inline>
        </w:drawing>
      </w:r>
    </w:p>
    <w:p w14:paraId="2A9982DC" w14:textId="77777777" w:rsidR="00EC7D71" w:rsidRDefault="00EC7D71" w:rsidP="002E1334"/>
    <w:p w14:paraId="0D6FE85A" w14:textId="77777777" w:rsidR="00EC7D71" w:rsidRDefault="00EC7D71" w:rsidP="002E1334"/>
    <w:p w14:paraId="19FBA03C" w14:textId="77777777" w:rsidR="00EC7D71" w:rsidRDefault="00EC7D71" w:rsidP="002E1334"/>
    <w:p w14:paraId="3A9266B1" w14:textId="77777777" w:rsidR="00EC7D71" w:rsidRDefault="00EC7D71" w:rsidP="002E1334"/>
    <w:p w14:paraId="7AB565B5" w14:textId="77777777" w:rsidR="00EC7D71" w:rsidRDefault="00EC7D71" w:rsidP="002E1334"/>
    <w:p w14:paraId="0AC10B2C" w14:textId="77777777" w:rsidR="00EC7D71" w:rsidRDefault="00EC7D71" w:rsidP="002E1334"/>
    <w:p w14:paraId="7BF5EB63" w14:textId="77777777" w:rsidR="00EC7D71" w:rsidRDefault="00EC7D71" w:rsidP="002E1334"/>
    <w:p w14:paraId="47E4FF78" w14:textId="2AD657E0" w:rsidR="00AD46DB" w:rsidRDefault="008600F4">
      <w:pPr>
        <w:pStyle w:val="Heading2"/>
      </w:pPr>
      <w:r>
        <w:t>EX 1</w:t>
      </w:r>
    </w:p>
    <w:p w14:paraId="37297357" w14:textId="77777777" w:rsidR="00AD46DB" w:rsidRDefault="008600F4">
      <w:pPr>
        <w:keepNext/>
        <w:spacing w:after="220"/>
      </w:pPr>
      <w:r>
        <w:t xml:space="preserve"> The population of the US was 3.9 million in 1790 and 178 million in 1960. If the rate of growth is assumed to be proportional to the population, what estimate would you give for the population in the year 2000? (actual answer = 275 million)</w:t>
      </w:r>
    </w:p>
    <w:p w14:paraId="4C3A94CA" w14:textId="77777777" w:rsidR="00AD46DB" w:rsidRDefault="00AD46DB">
      <w:pPr>
        <w:spacing w:after="0"/>
      </w:pPr>
    </w:p>
    <w:p w14:paraId="7E6AEE75" w14:textId="77777777" w:rsidR="00AD46DB" w:rsidRDefault="00AD46DB">
      <w:pPr>
        <w:spacing w:after="0"/>
      </w:pPr>
    </w:p>
    <w:p w14:paraId="674AFFFA" w14:textId="77777777" w:rsidR="00AD46DB" w:rsidRDefault="00AD46DB">
      <w:pPr>
        <w:spacing w:after="0"/>
      </w:pPr>
    </w:p>
    <w:p w14:paraId="434B153A" w14:textId="77777777" w:rsidR="00AD46DB" w:rsidRDefault="00AD46DB">
      <w:pPr>
        <w:spacing w:after="0"/>
      </w:pPr>
    </w:p>
    <w:p w14:paraId="327A3221" w14:textId="77777777" w:rsidR="00AD46DB" w:rsidRDefault="00AD46DB">
      <w:pPr>
        <w:spacing w:after="0"/>
      </w:pPr>
    </w:p>
    <w:p w14:paraId="14E1F096" w14:textId="77777777" w:rsidR="00AD46DB" w:rsidRDefault="00AD46DB">
      <w:pPr>
        <w:spacing w:after="0"/>
      </w:pPr>
    </w:p>
    <w:p w14:paraId="3AD760BE" w14:textId="77777777" w:rsidR="00AD46DB" w:rsidRDefault="00AD46DB">
      <w:pPr>
        <w:spacing w:after="0"/>
      </w:pPr>
    </w:p>
    <w:p w14:paraId="4C26F433" w14:textId="77777777" w:rsidR="00EC7D71" w:rsidRDefault="00EC7D71">
      <w:r>
        <w:br w:type="page"/>
      </w:r>
    </w:p>
    <w:p w14:paraId="73A71FFA" w14:textId="24542BF4" w:rsidR="00AD46DB" w:rsidRDefault="008600F4" w:rsidP="00EC7D71">
      <w:pPr>
        <w:pStyle w:val="Heading2"/>
      </w:pPr>
      <w:r>
        <w:lastRenderedPageBreak/>
        <w:t>Compound Interest Formula</w:t>
      </w:r>
    </w:p>
    <w:p w14:paraId="6D82BA8B" w14:textId="77777777" w:rsidR="00AD46DB" w:rsidRPr="00EC7D71" w:rsidRDefault="008600F4">
      <w:pPr>
        <w:spacing w:after="220"/>
        <w:rPr>
          <w:rFonts w:eastAsiaTheme="minorEastAsia"/>
        </w:rPr>
      </w:pPr>
      <m:oMathPara>
        <m:oMath>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r</m:t>
                      </m:r>
                    </m:num>
                    <m:den>
                      <m:r>
                        <w:rPr>
                          <w:rFonts w:ascii="Cambria Math" w:hAnsi="Cambria Math"/>
                        </w:rPr>
                        <m:t>n</m:t>
                      </m:r>
                    </m:den>
                  </m:f>
                </m:e>
              </m:d>
            </m:e>
            <m:sup>
              <m:r>
                <w:rPr>
                  <w:rFonts w:ascii="Cambria Math" w:hAnsi="Cambria Math"/>
                </w:rPr>
                <m:t>nt</m:t>
              </m:r>
            </m:sup>
          </m:sSup>
        </m:oMath>
      </m:oMathPara>
    </w:p>
    <w:p w14:paraId="3B268FAB" w14:textId="77777777" w:rsidR="00EC7D71" w:rsidRDefault="00EC7D71">
      <w:pPr>
        <w:spacing w:after="220"/>
        <w:rPr>
          <w:rFonts w:eastAsiaTheme="minorEastAsia"/>
        </w:rPr>
      </w:pPr>
    </w:p>
    <w:p w14:paraId="4893442F" w14:textId="10AE8431" w:rsidR="00EC7D71" w:rsidRDefault="008600F4">
      <w:pPr>
        <w:spacing w:after="220"/>
      </w:pPr>
      <m:oMath>
        <m:sSub>
          <m:sSubPr>
            <m:ctrlPr>
              <w:rPr>
                <w:rFonts w:ascii="Cambria Math" w:hAnsi="Cambria Math"/>
                <w:i/>
              </w:rPr>
            </m:ctrlPr>
          </m:sSubPr>
          <m:e>
            <m:r>
              <w:rPr>
                <w:rFonts w:ascii="Cambria Math" w:hAnsi="Cambria Math"/>
              </w:rPr>
              <m:t>A</m:t>
            </m:r>
          </m:e>
          <m:sub>
            <m:r>
              <w:rPr>
                <w:rFonts w:ascii="Cambria Math" w:hAnsi="Cambria Math"/>
              </w:rPr>
              <m:t>0</m:t>
            </m:r>
          </m:sub>
        </m:sSub>
      </m:oMath>
      <w:r w:rsidR="00EC7D71">
        <w:t xml:space="preserve"> = initial amount</w:t>
      </w:r>
      <w:r w:rsidR="00EC7D71">
        <w:br/>
      </w:r>
      <m:oMath>
        <m:r>
          <m:rPr>
            <m:sty m:val="p"/>
          </m:rPr>
          <w:rPr>
            <w:rFonts w:ascii="Cambria Math" w:hAnsi="Cambria Math"/>
          </w:rPr>
          <m:t>A(t)=</m:t>
        </m:r>
      </m:oMath>
      <w:r w:rsidR="00EC7D71">
        <w:t xml:space="preserve"> value after t years</w:t>
      </w:r>
      <w:r w:rsidR="00EC7D71">
        <w:br/>
        <w:t>r = Interest rate</w:t>
      </w:r>
      <w:r w:rsidR="00EC7D71">
        <w:br/>
      </w:r>
      <m:oMath>
        <m:r>
          <m:rPr>
            <m:sty m:val="p"/>
          </m:rPr>
          <w:rPr>
            <w:rFonts w:ascii="Cambria Math" w:hAnsi="Cambria Math"/>
          </w:rPr>
          <m:t>n=</m:t>
        </m:r>
      </m:oMath>
      <w:r w:rsidR="00EC7D71">
        <w:t xml:space="preserve"> number of compounding periods</w:t>
      </w:r>
    </w:p>
    <w:p w14:paraId="4135EEE5" w14:textId="77777777" w:rsidR="00AD46DB" w:rsidRDefault="008600F4">
      <w:pPr>
        <w:spacing w:after="220"/>
      </w:pPr>
      <w:r>
        <w:t>What if we compound continuously?</w:t>
      </w:r>
    </w:p>
    <w:p w14:paraId="4D1A9F02" w14:textId="77777777" w:rsidR="00AD46DB" w:rsidRDefault="008600F4">
      <w:pPr>
        <w:spacing w:after="220"/>
      </w:pPr>
      <m:oMathPara>
        <m:oMath>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r>
            <m:rPr>
              <m:sty m:val="p"/>
            </m:rPr>
            <w:rPr>
              <w:rFonts w:ascii="Cambria Math" w:hAnsi="Cambria Math"/>
            </w:rPr>
            <m:t>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r</m:t>
                      </m:r>
                    </m:num>
                    <m:den>
                      <m:r>
                        <w:rPr>
                          <w:rFonts w:ascii="Cambria Math" w:hAnsi="Cambria Math"/>
                        </w:rPr>
                        <m:t>n</m:t>
                      </m:r>
                    </m:den>
                  </m:f>
                </m:e>
              </m:d>
            </m:e>
            <m:sup>
              <m:r>
                <w:rPr>
                  <w:rFonts w:ascii="Cambria Math" w:hAnsi="Cambria Math"/>
                </w:rPr>
                <m:t>nt</m:t>
              </m:r>
            </m:sup>
          </m:sSup>
        </m:oMath>
      </m:oMathPara>
    </w:p>
    <w:p w14:paraId="1152E513" w14:textId="77777777" w:rsidR="00AD46DB" w:rsidRDefault="008600F4">
      <w:pPr>
        <w:pStyle w:val="Heading2"/>
        <w:keepNext/>
        <w:spacing w:before="330" w:line="271" w:lineRule="auto"/>
      </w:pPr>
      <w:bookmarkStart w:id="2" w:name="theorem"/>
      <w:r>
        <w:rPr>
          <w:sz w:val="42"/>
        </w:rPr>
        <w:t>Theorem</w:t>
      </w:r>
      <w:bookmarkEnd w:id="2"/>
    </w:p>
    <w:p w14:paraId="342AB91C" w14:textId="77777777" w:rsidR="00AD46DB" w:rsidRDefault="008600F4">
      <w:pPr>
        <w:spacing w:after="220"/>
      </w:pPr>
      <m:oMathPara>
        <m:oMath>
          <m:limLow>
            <m:limLowPr>
              <m:ctrlPr>
                <w:rPr>
                  <w:rFonts w:ascii="Cambria Math" w:hAnsi="Cambria Math"/>
                </w:rPr>
              </m:ctrlPr>
            </m:limLowPr>
            <m:e>
              <m:r>
                <m:rPr>
                  <m:sty m:val="p"/>
                </m:rPr>
                <w:rPr>
                  <w:rFonts w:ascii="Cambria Math" w:hAnsi="Cambria Math"/>
                </w:rPr>
                <m:t>lim</m:t>
              </m:r>
            </m:e>
            <m:lim>
              <m:r>
                <w:rPr>
                  <w:rFonts w:ascii="Cambria Math" w:hAnsi="Cambria Math"/>
                </w:rPr>
                <m:t>h</m:t>
              </m:r>
              <m:r>
                <m:rPr>
                  <m:sty m:val="p"/>
                </m:rPr>
                <w:rPr>
                  <w:rFonts w:ascii="Cambria Math" w:hAnsi="Cambria Math"/>
                </w:rPr>
                <m:t>→0</m:t>
              </m:r>
            </m:lim>
          </m:limLow>
          <m:r>
            <m:rPr>
              <m:sty m:val="p"/>
            </m:rPr>
            <w:rPr>
              <w:rFonts w:ascii="Cambria Math" w:hAnsi="Cambria Math"/>
            </w:rPr>
            <m:t> </m:t>
          </m:r>
          <m:r>
            <m:rPr>
              <m:sty m:val="p"/>
            </m:rPr>
            <w:rPr>
              <w:rFonts w:ascii="Cambria Math" w:hAnsi="Cambria Math"/>
            </w:rPr>
            <m:t>(1+</m:t>
          </m:r>
          <m:r>
            <w:rPr>
              <w:rFonts w:ascii="Cambria Math" w:hAnsi="Cambria Math"/>
            </w:rPr>
            <m:t>h</m:t>
          </m:r>
          <m:sSup>
            <m:sSupPr>
              <m:ctrlPr>
                <w:rPr>
                  <w:rFonts w:ascii="Cambria Math" w:hAnsi="Cambria Math"/>
                </w:rPr>
              </m:ctrlPr>
            </m:sSupPr>
            <m:e>
              <m:r>
                <m:rPr>
                  <m:sty m:val="p"/>
                </m:rPr>
                <w:rPr>
                  <w:rFonts w:ascii="Cambria Math" w:hAnsi="Cambria Math"/>
                </w:rPr>
                <m:t>)</m:t>
              </m:r>
            </m:e>
            <m:sup>
              <m:f>
                <m:fPr>
                  <m:ctrlPr>
                    <w:rPr>
                      <w:rFonts w:ascii="Cambria Math" w:hAnsi="Cambria Math"/>
                    </w:rPr>
                  </m:ctrlPr>
                </m:fPr>
                <m:num>
                  <m:r>
                    <m:rPr>
                      <m:sty m:val="p"/>
                    </m:rPr>
                    <w:rPr>
                      <w:rFonts w:ascii="Cambria Math" w:hAnsi="Cambria Math"/>
                    </w:rPr>
                    <m:t>1</m:t>
                  </m:r>
                </m:num>
                <m:den>
                  <m:r>
                    <w:rPr>
                      <w:rFonts w:ascii="Cambria Math" w:hAnsi="Cambria Math"/>
                    </w:rPr>
                    <m:t>h</m:t>
                  </m:r>
                </m:den>
              </m:f>
            </m:sup>
          </m:sSup>
          <m:r>
            <m:rPr>
              <m:sty m:val="p"/>
            </m:rPr>
            <w:rPr>
              <w:rFonts w:ascii="Cambria Math" w:hAnsi="Cambria Math"/>
            </w:rPr>
            <m:t>=</m:t>
          </m:r>
          <m:r>
            <w:rPr>
              <w:rFonts w:ascii="Cambria Math" w:hAnsi="Cambria Math"/>
            </w:rPr>
            <m:t>e</m:t>
          </m:r>
        </m:oMath>
      </m:oMathPara>
    </w:p>
    <w:p w14:paraId="660C2B48" w14:textId="77777777" w:rsidR="00AD46DB" w:rsidRDefault="008600F4">
      <w:pPr>
        <w:keepNext/>
        <w:spacing w:after="220"/>
        <w:outlineLvl w:val="2"/>
      </w:pPr>
      <w:r>
        <w:t>Proof</w:t>
      </w:r>
    </w:p>
    <w:p w14:paraId="7BE54743" w14:textId="77777777" w:rsidR="00AD46DB" w:rsidRDefault="00AD46DB">
      <w:pPr>
        <w:spacing w:after="0"/>
      </w:pPr>
    </w:p>
    <w:p w14:paraId="25EBDAF0" w14:textId="77777777" w:rsidR="00AD46DB" w:rsidRDefault="00AD46DB">
      <w:pPr>
        <w:spacing w:after="0"/>
      </w:pPr>
    </w:p>
    <w:p w14:paraId="643AFDEE" w14:textId="77777777" w:rsidR="00AD46DB" w:rsidRDefault="00AD46DB">
      <w:pPr>
        <w:spacing w:after="0"/>
      </w:pPr>
    </w:p>
    <w:p w14:paraId="462C7E02" w14:textId="77777777" w:rsidR="00AD46DB" w:rsidRDefault="00AD46DB">
      <w:pPr>
        <w:spacing w:after="0"/>
      </w:pPr>
    </w:p>
    <w:p w14:paraId="33EAF7CE" w14:textId="77777777" w:rsidR="00AD46DB" w:rsidRDefault="00AD46DB">
      <w:pPr>
        <w:spacing w:after="0"/>
      </w:pPr>
    </w:p>
    <w:p w14:paraId="583174F3" w14:textId="77777777" w:rsidR="00AD46DB" w:rsidRDefault="00AD46DB">
      <w:pPr>
        <w:spacing w:after="0"/>
      </w:pPr>
    </w:p>
    <w:p w14:paraId="51EACD29" w14:textId="77777777" w:rsidR="00EC7D71" w:rsidRDefault="00EC7D71">
      <w:pPr>
        <w:rPr>
          <w:b/>
          <w:sz w:val="42"/>
        </w:rPr>
      </w:pPr>
      <w:bookmarkStart w:id="3" w:name="continuous_compounding"/>
      <w:r>
        <w:rPr>
          <w:b/>
          <w:sz w:val="42"/>
        </w:rPr>
        <w:br w:type="page"/>
      </w:r>
    </w:p>
    <w:p w14:paraId="7C606351" w14:textId="77F01F39" w:rsidR="00AD46DB" w:rsidRDefault="008600F4">
      <w:pPr>
        <w:spacing w:before="330" w:line="271" w:lineRule="auto"/>
      </w:pPr>
      <w:r>
        <w:rPr>
          <w:b/>
          <w:sz w:val="42"/>
        </w:rPr>
        <w:lastRenderedPageBreak/>
        <w:t>Continuous compounding:</w:t>
      </w:r>
      <w:bookmarkEnd w:id="3"/>
    </w:p>
    <w:p w14:paraId="18CF20DA" w14:textId="77777777" w:rsidR="00AD46DB" w:rsidRDefault="008600F4">
      <w:pPr>
        <w:pStyle w:val="Heading2"/>
      </w:pPr>
      <w:r>
        <w:t>EX 2</w:t>
      </w:r>
    </w:p>
    <w:p w14:paraId="5D2BF96D" w14:textId="77777777" w:rsidR="00AD46DB" w:rsidRDefault="008600F4">
      <w:pPr>
        <w:keepNext/>
        <w:spacing w:after="220"/>
      </w:pPr>
      <w:r>
        <w:t xml:space="preserve"> Compute this limit to get a formula for continuously compounded interest.</w:t>
      </w:r>
    </w:p>
    <w:p w14:paraId="7B0CA735" w14:textId="77777777" w:rsidR="00AD46DB" w:rsidRDefault="00AD46DB">
      <w:pPr>
        <w:spacing w:after="0"/>
      </w:pPr>
    </w:p>
    <w:p w14:paraId="2F778993" w14:textId="77777777" w:rsidR="00AD46DB" w:rsidRDefault="00AD46DB">
      <w:pPr>
        <w:spacing w:after="0"/>
      </w:pPr>
    </w:p>
    <w:p w14:paraId="747AB444" w14:textId="77777777" w:rsidR="00AD46DB" w:rsidRDefault="008600F4">
      <w:pPr>
        <w:spacing w:after="220"/>
      </w:pPr>
      <m:oMathPara>
        <m:oMath>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r>
            <m:rPr>
              <m:sty m:val="p"/>
            </m:rPr>
            <w:rPr>
              <w:rFonts w:ascii="Cambria Math" w:hAnsi="Cambria Math"/>
            </w:rPr>
            <m:t>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r</m:t>
                      </m:r>
                    </m:num>
                    <m:den>
                      <m:r>
                        <w:rPr>
                          <w:rFonts w:ascii="Cambria Math" w:hAnsi="Cambria Math"/>
                        </w:rPr>
                        <m:t>n</m:t>
                      </m:r>
                    </m:den>
                  </m:f>
                </m:e>
              </m:d>
            </m:e>
            <m:sup>
              <m:r>
                <w:rPr>
                  <w:rFonts w:ascii="Cambria Math" w:hAnsi="Cambria Math"/>
                </w:rPr>
                <m:t>nt</m:t>
              </m:r>
            </m:sup>
          </m:sSup>
        </m:oMath>
      </m:oMathPara>
    </w:p>
    <w:p w14:paraId="22627BA8" w14:textId="77777777" w:rsidR="00AD46DB" w:rsidRDefault="008600F4">
      <w:pPr>
        <w:pStyle w:val="Heading2"/>
        <w:pageBreakBefore/>
      </w:pPr>
      <w:r>
        <w:lastRenderedPageBreak/>
        <w:t>EX 3</w:t>
      </w:r>
    </w:p>
    <w:p w14:paraId="372EA589" w14:textId="77777777" w:rsidR="00AD46DB" w:rsidRDefault="008600F4">
      <w:pPr>
        <w:keepNext/>
        <w:spacing w:after="220"/>
      </w:pPr>
      <w:r>
        <w:t xml:space="preserve"> Compute this limit.</w:t>
      </w:r>
    </w:p>
    <w:p w14:paraId="0B96EDF3" w14:textId="77777777" w:rsidR="00AD46DB" w:rsidRDefault="008600F4">
      <w:pPr>
        <w:spacing w:after="220"/>
      </w:pPr>
      <m:oMathPara>
        <m:oMath>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lim>
          </m:limLow>
          <m:r>
            <m:rPr>
              <m:sty m:val="p"/>
            </m:rPr>
            <w:rPr>
              <w:rFonts w:ascii="Cambria Math" w:hAnsi="Cambria Math"/>
            </w:rPr>
            <m:t>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r>
                        <m:rPr>
                          <m:sty m:val="p"/>
                        </m:rPr>
                        <w:rPr>
                          <w:rFonts w:ascii="Cambria Math" w:hAnsi="Cambria Math"/>
                        </w:rPr>
                        <m:t>+3</m:t>
                      </m:r>
                    </m:num>
                    <m:den>
                      <m:r>
                        <w:rPr>
                          <w:rFonts w:ascii="Cambria Math" w:hAnsi="Cambria Math"/>
                        </w:rPr>
                        <m:t>x</m:t>
                      </m:r>
                      <m:r>
                        <m:rPr>
                          <m:sty m:val="p"/>
                        </m:rPr>
                        <w:rPr>
                          <w:rFonts w:ascii="Cambria Math" w:hAnsi="Cambria Math"/>
                        </w:rPr>
                        <m:t>+1</m:t>
                      </m:r>
                    </m:den>
                  </m:f>
                </m:e>
              </m:d>
            </m:e>
            <m:sup>
              <m:r>
                <w:rPr>
                  <w:rFonts w:ascii="Cambria Math" w:hAnsi="Cambria Math"/>
                </w:rPr>
                <m:t>x</m:t>
              </m:r>
            </m:sup>
          </m:sSup>
        </m:oMath>
      </m:oMathPara>
    </w:p>
    <w:sectPr w:rsidR="00AD46D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DB"/>
    <w:rsid w:val="002E1334"/>
    <w:rsid w:val="004052CE"/>
    <w:rsid w:val="007C0308"/>
    <w:rsid w:val="00AD46DB"/>
    <w:rsid w:val="00EC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A146"/>
  <w15:docId w15:val="{6651CAB2-DD96-2D40-A59A-C11C959C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PlaceholderText">
    <w:name w:val="Placeholder Text"/>
    <w:basedOn w:val="DefaultParagraphFont"/>
    <w:uiPriority w:val="99"/>
    <w:semiHidden/>
    <w:rsid w:val="00EC7D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1220 #5 Prenotes - Exponential Growth and Decay</dc:title>
  <dc:subject/>
  <dc:creator>html-to-docx</dc:creator>
  <cp:keywords>html-to-docx</cp:keywords>
  <dc:description/>
  <cp:lastModifiedBy>Karl Schwede</cp:lastModifiedBy>
  <cp:revision>3</cp:revision>
  <dcterms:created xsi:type="dcterms:W3CDTF">2026-03-02T17:47:00Z</dcterms:created>
  <dcterms:modified xsi:type="dcterms:W3CDTF">2026-04-13T04:16:00Z</dcterms:modified>
</cp:coreProperties>
</file>