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4888" w14:textId="77777777" w:rsidR="001A6BA4" w:rsidRDefault="004725F0">
      <w:pPr>
        <w:pStyle w:val="Heading1"/>
      </w:pPr>
      <w:r>
        <w:t>Math 1060 ~ Trigonometry</w:t>
      </w:r>
    </w:p>
    <w:p w14:paraId="6FA067E3" w14:textId="77777777" w:rsidR="001A6BA4" w:rsidRDefault="004725F0">
      <w:pPr>
        <w:pStyle w:val="Heading1"/>
      </w:pPr>
      <w:r>
        <w:t>2 Right Triangles</w:t>
      </w:r>
    </w:p>
    <w:p w14:paraId="77BE718A" w14:textId="77777777" w:rsidR="001A6BA4" w:rsidRDefault="004725F0">
      <w:pPr>
        <w:spacing w:after="220"/>
      </w:pPr>
      <w:r>
        <w:t>In this section you will:</w:t>
      </w:r>
    </w:p>
    <w:p w14:paraId="6016A18F" w14:textId="77777777" w:rsidR="001A6BA4" w:rsidRDefault="004725F0">
      <w:pPr>
        <w:numPr>
          <w:ilvl w:val="0"/>
          <w:numId w:val="1"/>
        </w:numPr>
      </w:pPr>
      <w:r>
        <w:t>Identify the trigonometric ratios.</w:t>
      </w:r>
      <w:r>
        <w:br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30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∘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45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60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∘</m:t>
            </m:r>
          </m:sup>
        </m:sSup>
      </m:oMath>
      <w:r>
        <w:t>.</w:t>
      </w:r>
    </w:p>
    <w:p w14:paraId="5F40D07A" w14:textId="77777777" w:rsidR="001A6BA4" w:rsidRDefault="004725F0">
      <w:pPr>
        <w:numPr>
          <w:ilvl w:val="0"/>
          <w:numId w:val="1"/>
        </w:numPr>
      </w:pPr>
      <w:r>
        <w:t>Solve right triangles and related application problems.</w:t>
      </w:r>
    </w:p>
    <w:p w14:paraId="548AB6E1" w14:textId="77777777" w:rsidR="001A6BA4" w:rsidRDefault="004725F0">
      <w:pPr>
        <w:pStyle w:val="Heading2"/>
        <w:spacing w:before="330" w:line="271" w:lineRule="auto"/>
      </w:pPr>
      <w:bookmarkStart w:id="0" w:name="similar_triangles"/>
      <w:r>
        <w:rPr>
          <w:sz w:val="42"/>
        </w:rPr>
        <w:t>Similar Triangles</w:t>
      </w:r>
      <w:bookmarkEnd w:id="0"/>
    </w:p>
    <w:p w14:paraId="03685C31" w14:textId="77777777" w:rsidR="00573C50" w:rsidRDefault="004725F0">
      <w:pPr>
        <w:spacing w:after="220"/>
      </w:pPr>
      <w:r>
        <w:t xml:space="preserve">Two triangles are similar if they have the same shape, more specifically, if their corresponding angles are congruent. </w:t>
      </w:r>
      <w:proofErr w:type="gramStart"/>
      <w:r>
        <w:t>Additionally</w:t>
      </w:r>
      <w:proofErr w:type="gramEnd"/>
      <w:r>
        <w:t xml:space="preserve"> two triangles are similar if and only if their corresponding sides are proportional.</w:t>
      </w:r>
    </w:p>
    <w:p w14:paraId="6896B86B" w14:textId="08542D65" w:rsidR="001A6BA4" w:rsidRDefault="00573C50">
      <w:pPr>
        <w:spacing w:after="220"/>
      </w:pPr>
      <w:r w:rsidRPr="00573C50">
        <w:rPr>
          <w:noProof/>
        </w:rPr>
        <w:drawing>
          <wp:inline distT="0" distB="0" distL="0" distR="0" wp14:anchorId="205E291A" wp14:editId="28A67B96">
            <wp:extent cx="5486400" cy="3282950"/>
            <wp:effectExtent l="0" t="0" r="0" b="6350"/>
            <wp:docPr id="1079369163" name="Picture 1" descr="Two triangles are drawn side-by-side, the triangle on the right is a scaled up version of the one on the left.&#10;&#10;Left: Scalene triangle ABC outlined in purple, with A at the upper left, B at the lower left, and C at the lower right; the base BC is horizontal.&#10;&#10;Right: Scalene triangle DEF outlined in dark purple, with D at the upper left, E at the lower left, and F at the lower right; the base EF is horizont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369163" name="Picture 1" descr="Two triangles are drawn side-by-side, the triangle on the right is a scaled up version of the one on the left.&#10;&#10;Left: Scalene triangle ABC outlined in purple, with A at the upper left, B at the lower left, and C at the lower right; the base BC is horizontal.&#10;&#10;Right: Scalene triangle DEF outlined in dark purple, with D at the upper left, E at the lower left, and F at the lower right; the base EF is horizonta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92DC32D" w14:textId="3EC624D4" w:rsidR="001A6BA4" w:rsidRDefault="001A6BA4">
      <w:pPr>
        <w:jc w:val="center"/>
      </w:pPr>
    </w:p>
    <w:p w14:paraId="6BA57B2C" w14:textId="77777777" w:rsidR="001A6BA4" w:rsidRDefault="004725F0">
      <w:pPr>
        <w:spacing w:after="220"/>
      </w:pPr>
      <w:r>
        <w:br/>
      </w:r>
    </w:p>
    <w:p w14:paraId="4673417E" w14:textId="637C2966" w:rsidR="001A6BA4" w:rsidRDefault="001A6BA4">
      <w:pPr>
        <w:jc w:val="center"/>
      </w:pPr>
    </w:p>
    <w:p w14:paraId="4C9694F1" w14:textId="77777777" w:rsidR="00573C50" w:rsidRDefault="00573C50">
      <w:pPr>
        <w:rPr>
          <w:b/>
          <w:sz w:val="42"/>
        </w:rPr>
      </w:pPr>
      <w:bookmarkStart w:id="1" w:name="trigonometric_ratios"/>
      <w:r>
        <w:rPr>
          <w:sz w:val="42"/>
        </w:rPr>
        <w:br w:type="page"/>
      </w:r>
    </w:p>
    <w:p w14:paraId="4EA45803" w14:textId="15DFFA6B" w:rsidR="001A6BA4" w:rsidRDefault="004725F0">
      <w:pPr>
        <w:pStyle w:val="Heading2"/>
        <w:spacing w:before="330" w:line="271" w:lineRule="auto"/>
      </w:pPr>
      <w:r>
        <w:rPr>
          <w:sz w:val="42"/>
        </w:rPr>
        <w:lastRenderedPageBreak/>
        <w:t>Trigonometric Ratios</w:t>
      </w:r>
      <w:bookmarkEnd w:id="1"/>
    </w:p>
    <w:p w14:paraId="11D151BF" w14:textId="77777777" w:rsidR="001A6BA4" w:rsidRDefault="004725F0">
      <w:pPr>
        <w:spacing w:after="220"/>
      </w:pPr>
      <w:r>
        <w:t xml:space="preserve">Consider this generic right triangle with angle </w:t>
      </w:r>
      <m:oMath>
        <m:r>
          <w:rPr>
            <w:rFonts w:ascii="Cambria Math" w:hAnsi="Cambria Math"/>
          </w:rPr>
          <m:t>θ</m:t>
        </m:r>
      </m:oMath>
      <w:r>
        <w:t>.</w:t>
      </w:r>
    </w:p>
    <w:p w14:paraId="2639BA05" w14:textId="77777777" w:rsidR="001A6BA4" w:rsidRDefault="004725F0">
      <w:pPr>
        <w:jc w:val="center"/>
      </w:pPr>
      <w:r>
        <w:rPr>
          <w:noProof/>
        </w:rPr>
        <w:drawing>
          <wp:inline distT="0" distB="0" distL="0" distR="0" wp14:anchorId="14C48524" wp14:editId="523468F4">
            <wp:extent cx="3267075" cy="2238375"/>
            <wp:effectExtent l="0" t="0" r="0" b="0"/>
            <wp:docPr id="3" name="image-d27587b1b822a2daafe856c00637ae58bb959543.jpg" descr="Right-triangle trigonometry diagram: a right triangle with a right angle at the lower left. The horizontal base is labeled a (green), the vertical leg is labeled b and “Opposite” (blue), and the slanted side is labeled c and “Hypotenuse” (red). The acute angle at the lower right is labeled θ with a dotted arc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d27587b1b822a2daafe856c00637ae58bb959543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21D0C" w14:textId="77777777" w:rsidR="001A6BA4" w:rsidRDefault="004725F0">
      <w:r>
        <w:t>Adjacent</w:t>
      </w:r>
    </w:p>
    <w:p w14:paraId="594116EC" w14:textId="77777777" w:rsidR="001A6BA4" w:rsidRDefault="004725F0">
      <w:pPr>
        <w:spacing w:after="220"/>
      </w:pPr>
      <w:r>
        <w:t>The six trigonometric ratios are:</w:t>
      </w:r>
    </w:p>
    <w:p w14:paraId="3F17E82B" w14:textId="13B4AFF2" w:rsidR="00573C50" w:rsidRPr="00573C50" w:rsidRDefault="00573C50" w:rsidP="00573C50">
      <w:pPr>
        <w:pStyle w:val="ListParagraph"/>
        <w:numPr>
          <w:ilvl w:val="0"/>
          <w:numId w:val="2"/>
        </w:numPr>
        <w:spacing w:after="220"/>
        <w:rPr>
          <w:rFonts w:ascii="Cambria Math" w:hAnsi="Cambria Math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sin⁡(</m:t>
        </m:r>
        <m:r>
          <w:rPr>
            <w:rFonts w:ascii="Cambria Math" w:hAnsi="Cambria Math"/>
            <w:sz w:val="28"/>
            <w:szCs w:val="28"/>
          </w:rPr>
          <m:t>θ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)=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 opposite </m:t>
            </m:r>
          </m:num>
          <m:den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 hypotenuse 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c</m:t>
            </m:r>
          </m:den>
        </m:f>
      </m:oMath>
      <w:r w:rsidRPr="00573C50">
        <w:rPr>
          <w:rFonts w:ascii="Cambria Math" w:hAnsi="Cambria Math"/>
          <w:sz w:val="28"/>
          <w:szCs w:val="28"/>
        </w:rPr>
        <w:br/>
      </w:r>
    </w:p>
    <w:p w14:paraId="2A405E76" w14:textId="15CE9CAD" w:rsidR="00573C50" w:rsidRPr="00573C50" w:rsidRDefault="00573C50" w:rsidP="00573C50">
      <w:pPr>
        <w:pStyle w:val="ListParagraph"/>
        <w:numPr>
          <w:ilvl w:val="0"/>
          <w:numId w:val="2"/>
        </w:numPr>
        <w:spacing w:after="220"/>
        <w:rPr>
          <w:rFonts w:ascii="Cambria Math" w:hAnsi="Cambria Math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cos⁡(</m:t>
        </m:r>
        <m:r>
          <w:rPr>
            <w:rFonts w:ascii="Cambria Math" w:hAnsi="Cambria Math"/>
            <w:sz w:val="28"/>
            <w:szCs w:val="28"/>
          </w:rPr>
          <m:t>θ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)=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 adjacent </m:t>
            </m:r>
          </m:num>
          <m:den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 hypotenuse 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c</m:t>
            </m:r>
          </m:den>
        </m:f>
      </m:oMath>
      <w:r w:rsidRPr="00573C50">
        <w:rPr>
          <w:rFonts w:ascii="Cambria Math" w:hAnsi="Cambria Math"/>
          <w:sz w:val="28"/>
          <w:szCs w:val="28"/>
        </w:rPr>
        <w:br/>
      </w:r>
    </w:p>
    <w:p w14:paraId="4439B592" w14:textId="325D5072" w:rsidR="00573C50" w:rsidRPr="00573C50" w:rsidRDefault="00573C50" w:rsidP="00573C50">
      <w:pPr>
        <w:pStyle w:val="ListParagraph"/>
        <w:numPr>
          <w:ilvl w:val="0"/>
          <w:numId w:val="2"/>
        </w:numPr>
        <w:spacing w:after="220"/>
        <w:rPr>
          <w:rFonts w:ascii="Cambria Math" w:hAnsi="Cambria Math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tan⁡(</m:t>
        </m:r>
        <m:r>
          <w:rPr>
            <w:rFonts w:ascii="Cambria Math" w:hAnsi="Cambria Math"/>
            <w:sz w:val="28"/>
            <w:szCs w:val="28"/>
          </w:rPr>
          <m:t>θ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)=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 opposite </m:t>
            </m:r>
          </m:num>
          <m:den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 adjacent 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  <w:r w:rsidRPr="00573C50">
        <w:rPr>
          <w:rFonts w:ascii="Cambria Math" w:hAnsi="Cambria Math"/>
          <w:sz w:val="28"/>
          <w:szCs w:val="28"/>
        </w:rPr>
        <w:br/>
      </w:r>
    </w:p>
    <w:p w14:paraId="6E267770" w14:textId="40E3F6B6" w:rsidR="00573C50" w:rsidRPr="00573C50" w:rsidRDefault="00573C50" w:rsidP="00573C50">
      <w:pPr>
        <w:pStyle w:val="ListParagraph"/>
        <w:numPr>
          <w:ilvl w:val="0"/>
          <w:numId w:val="2"/>
        </w:numPr>
        <w:spacing w:after="220"/>
        <w:rPr>
          <w:rFonts w:ascii="Cambria Math" w:hAnsi="Cambria Math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cot⁡(</m:t>
        </m:r>
        <m:r>
          <w:rPr>
            <w:rFonts w:ascii="Cambria Math" w:hAnsi="Cambria Math"/>
            <w:sz w:val="28"/>
            <w:szCs w:val="28"/>
          </w:rPr>
          <m:t>θ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)=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 adjacent </m:t>
            </m:r>
          </m:num>
          <m:den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 opposite 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b</m:t>
            </m:r>
          </m:den>
        </m:f>
      </m:oMath>
      <w:r w:rsidRPr="00573C50">
        <w:rPr>
          <w:rFonts w:ascii="Cambria Math" w:hAnsi="Cambria Math"/>
          <w:sz w:val="28"/>
          <w:szCs w:val="28"/>
        </w:rPr>
        <w:br/>
      </w:r>
    </w:p>
    <w:p w14:paraId="79C7B9BC" w14:textId="047C8108" w:rsidR="00573C50" w:rsidRPr="00573C50" w:rsidRDefault="00573C50" w:rsidP="00573C50">
      <w:pPr>
        <w:pStyle w:val="ListParagraph"/>
        <w:numPr>
          <w:ilvl w:val="0"/>
          <w:numId w:val="2"/>
        </w:numPr>
        <w:spacing w:after="220"/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sec⁡(</m:t>
        </m:r>
        <m:r>
          <w:rPr>
            <w:rFonts w:ascii="Cambria Math" w:hAnsi="Cambria Math"/>
            <w:sz w:val="28"/>
            <w:szCs w:val="28"/>
          </w:rPr>
          <m:t>θ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)=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 hypotenuse </m:t>
            </m:r>
          </m:num>
          <m:den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 adjacent 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  <w:r>
        <w:rPr>
          <w:rFonts w:eastAsiaTheme="minorEastAsia"/>
        </w:rPr>
        <w:br/>
      </w:r>
    </w:p>
    <w:p w14:paraId="368D1D76" w14:textId="5EB00E68" w:rsidR="00573C50" w:rsidRPr="00573C50" w:rsidRDefault="00573C50" w:rsidP="00573C50">
      <w:pPr>
        <w:pStyle w:val="ListParagraph"/>
        <w:numPr>
          <w:ilvl w:val="0"/>
          <w:numId w:val="2"/>
        </w:numPr>
        <w:spacing w:after="220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csc⁡(</m:t>
        </m:r>
        <m:r>
          <w:rPr>
            <w:rFonts w:ascii="Cambria Math" w:hAnsi="Cambria Math"/>
            <w:sz w:val="28"/>
            <w:szCs w:val="28"/>
          </w:rPr>
          <m:t>θ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)=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sz w:val="28"/>
                <w:szCs w:val="28"/>
              </w:rPr>
              <m:t> </m:t>
            </m:r>
            <m:r>
              <m:rPr>
                <m:nor/>
              </m:rPr>
              <w:rPr>
                <w:sz w:val="28"/>
                <w:szCs w:val="28"/>
              </w:rPr>
              <m:t>hypotenuse</m:t>
            </m:r>
            <m:r>
              <m:rPr>
                <m:nor/>
              </m:rPr>
              <w:rPr>
                <w:sz w:val="28"/>
                <w:szCs w:val="28"/>
              </w:rPr>
              <m:t> </m:t>
            </m:r>
          </m:num>
          <m:den>
            <m:r>
              <m:rPr>
                <m:nor/>
              </m:rPr>
              <w:rPr>
                <w:sz w:val="28"/>
                <w:szCs w:val="28"/>
              </w:rPr>
              <m:t> </m:t>
            </m:r>
            <m:r>
              <m:rPr>
                <m:nor/>
              </m:rPr>
              <w:rPr>
                <w:sz w:val="28"/>
                <w:szCs w:val="28"/>
              </w:rPr>
              <m:t>opposite</m:t>
            </m:r>
            <m:r>
              <m:rPr>
                <m:nor/>
              </m:rPr>
              <w:rPr>
                <w:sz w:val="28"/>
                <w:szCs w:val="28"/>
              </w:rPr>
              <m:t> 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b</m:t>
            </m:r>
          </m:den>
        </m:f>
      </m:oMath>
    </w:p>
    <w:p w14:paraId="3119331A" w14:textId="74239269" w:rsidR="001A6BA4" w:rsidRDefault="001A6BA4">
      <w:pPr>
        <w:spacing w:after="220"/>
      </w:pPr>
    </w:p>
    <w:p w14:paraId="32593C37" w14:textId="77777777" w:rsidR="00573C50" w:rsidRPr="00573C50" w:rsidRDefault="004725F0">
      <w:pPr>
        <w:spacing w:after="220"/>
        <w:rPr>
          <w:u w:val="single"/>
        </w:rPr>
      </w:pPr>
      <w:r w:rsidRPr="00573C50">
        <w:rPr>
          <w:u w:val="single"/>
        </w:rPr>
        <w:t>Important properties of the trigonometric ratios:</w:t>
      </w:r>
      <w:r w:rsidRPr="00573C50">
        <w:rPr>
          <w:u w:val="single"/>
        </w:rPr>
        <w:br/>
      </w:r>
    </w:p>
    <w:p w14:paraId="0A4D26FE" w14:textId="4B4B01D9" w:rsidR="00573C50" w:rsidRDefault="004725F0" w:rsidP="00573C50">
      <w:pPr>
        <w:pStyle w:val="ListParagraph"/>
        <w:numPr>
          <w:ilvl w:val="0"/>
          <w:numId w:val="4"/>
        </w:numPr>
        <w:spacing w:after="220"/>
      </w:pPr>
      <w:r>
        <w:t xml:space="preserve">For all right triangles with the same acute angle </w:t>
      </w:r>
      <m:oMath>
        <m:r>
          <w:rPr>
            <w:rFonts w:ascii="Cambria Math" w:hAnsi="Cambria Math"/>
          </w:rPr>
          <m:t>θ</m:t>
        </m:r>
      </m:oMath>
      <w:r>
        <w:t xml:space="preserve">, because they are similar, the values of the resulting trigonometric ratios of </w:t>
      </w:r>
      <m:oMath>
        <m:r>
          <w:rPr>
            <w:rFonts w:ascii="Cambria Math" w:hAnsi="Cambria Math"/>
          </w:rPr>
          <m:t>θ</m:t>
        </m:r>
      </m:oMath>
      <w:r>
        <w:t xml:space="preserve"> will be identical.</w:t>
      </w:r>
    </w:p>
    <w:p w14:paraId="2ECA3E58" w14:textId="448F6BC4" w:rsidR="001A6BA4" w:rsidRDefault="004725F0" w:rsidP="00573C50">
      <w:pPr>
        <w:pStyle w:val="ListParagraph"/>
        <w:numPr>
          <w:ilvl w:val="0"/>
          <w:numId w:val="4"/>
        </w:numPr>
        <w:spacing w:after="220"/>
      </w:pPr>
      <w:r>
        <w:t>Cosecant, secant and cotangent are reciprocal ratios of sine, cosine and tangent respectively.</w:t>
      </w:r>
    </w:p>
    <w:p w14:paraId="1FC67DE7" w14:textId="77777777" w:rsidR="001A6BA4" w:rsidRDefault="004725F0">
      <w:pPr>
        <w:pStyle w:val="Heading2"/>
      </w:pPr>
      <w:r>
        <w:lastRenderedPageBreak/>
        <w:t>EX 1</w:t>
      </w:r>
    </w:p>
    <w:p w14:paraId="1CD8C8C8" w14:textId="77777777" w:rsidR="001A6BA4" w:rsidRDefault="004725F0">
      <w:pPr>
        <w:spacing w:after="220"/>
      </w:pPr>
      <w:r>
        <w:t xml:space="preserve">Find the six trigonometric ratios for the angle, </w:t>
      </w:r>
      <m:oMath>
        <m:r>
          <w:rPr>
            <w:rFonts w:ascii="Cambria Math" w:hAnsi="Cambria Math"/>
          </w:rPr>
          <m:t>θ</m:t>
        </m:r>
      </m:oMath>
      <w:r>
        <w:t>.</w:t>
      </w:r>
    </w:p>
    <w:p w14:paraId="56E3A2B0" w14:textId="12237D32" w:rsidR="00573C50" w:rsidRDefault="00573C50" w:rsidP="00573C50">
      <w:pPr>
        <w:spacing w:after="220"/>
      </w:pPr>
      <w:r w:rsidRPr="00573C50">
        <w:rPr>
          <w:noProof/>
        </w:rPr>
        <w:drawing>
          <wp:inline distT="0" distB="0" distL="0" distR="0" wp14:anchorId="7686A726" wp14:editId="3B2133EE">
            <wp:extent cx="3880884" cy="2425553"/>
            <wp:effectExtent l="0" t="0" r="5715" b="635"/>
            <wp:docPr id="1832197491" name="Picture 1" descr="A right-angled triangle is drawn with an angle marked theta. The side opposite to theta is marked 6, the hypotenuse is 10, and the adjacent is 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197491" name="Picture 1" descr="A right-angled triangle is drawn with an angle marked theta. The side opposite to theta is marked 6, the hypotenuse is 10, and the adjacent is 8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3435" cy="243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5AF1C" w14:textId="77777777" w:rsidR="00573C50" w:rsidRDefault="00573C50" w:rsidP="001D6267"/>
    <w:p w14:paraId="466C8441" w14:textId="77777777" w:rsidR="00573C50" w:rsidRDefault="00573C50" w:rsidP="001D6267"/>
    <w:p w14:paraId="30E63881" w14:textId="77777777" w:rsidR="00573C50" w:rsidRDefault="00573C50" w:rsidP="001D6267"/>
    <w:p w14:paraId="5F22CBF1" w14:textId="77777777" w:rsidR="00573C50" w:rsidRDefault="00573C50" w:rsidP="001D6267"/>
    <w:p w14:paraId="439B6D88" w14:textId="0B127BC4" w:rsidR="001A6BA4" w:rsidRDefault="004725F0">
      <w:pPr>
        <w:pStyle w:val="Heading2"/>
      </w:pPr>
      <w:r>
        <w:t>EX 2</w:t>
      </w:r>
    </w:p>
    <w:p w14:paraId="3CC5E22F" w14:textId="77777777" w:rsidR="001A6BA4" w:rsidRDefault="004725F0">
      <w:pPr>
        <w:spacing w:after="220"/>
      </w:pPr>
      <w:r>
        <w:t xml:space="preserve">Verify that this triangle is similar to the one in example 1 and find the six trigonometric ratios for the angle which corresponds to </w:t>
      </w:r>
      <m:oMath>
        <m:r>
          <w:rPr>
            <w:rFonts w:ascii="Cambria Math" w:hAnsi="Cambria Math"/>
          </w:rPr>
          <m:t>θ</m:t>
        </m:r>
      </m:oMath>
      <w:r>
        <w:t>.</w:t>
      </w:r>
    </w:p>
    <w:p w14:paraId="1B9CBF84" w14:textId="48B0A3C5" w:rsidR="00573C50" w:rsidRDefault="00573C50">
      <w:pPr>
        <w:spacing w:after="220"/>
      </w:pPr>
      <w:r w:rsidRPr="00573C50">
        <w:rPr>
          <w:noProof/>
        </w:rPr>
        <w:drawing>
          <wp:inline distT="0" distB="0" distL="0" distR="0" wp14:anchorId="3B87870C" wp14:editId="48D3E76E">
            <wp:extent cx="3657600" cy="2175909"/>
            <wp:effectExtent l="0" t="0" r="0" b="0"/>
            <wp:docPr id="1940078332" name="Picture 1" descr="A right-angled triangle is drawn with non-90 degrees angles marked alpha and beta. The side opposite to alpha is marked 9, the hypotenuse is 15, and the adjacent is 1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078332" name="Picture 1" descr="A right-angled triangle is drawn with non-90 degrees angles marked alpha and beta. The side opposite to alpha is marked 9, the hypotenuse is 15, and the adjacent is 15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75114" cy="218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301B5" w14:textId="77777777" w:rsidR="00BC6F6D" w:rsidRDefault="00BC6F6D">
      <w:pPr>
        <w:rPr>
          <w:b/>
          <w:sz w:val="42"/>
        </w:rPr>
      </w:pPr>
      <w:bookmarkStart w:id="2" w:name="pythagorean_theorem"/>
      <w:r>
        <w:rPr>
          <w:sz w:val="42"/>
        </w:rPr>
        <w:br w:type="page"/>
      </w:r>
    </w:p>
    <w:p w14:paraId="0E82EE82" w14:textId="566F92E3" w:rsidR="001A6BA4" w:rsidRDefault="004725F0">
      <w:pPr>
        <w:pStyle w:val="Heading2"/>
        <w:spacing w:before="330" w:line="271" w:lineRule="auto"/>
      </w:pPr>
      <w:r>
        <w:rPr>
          <w:sz w:val="42"/>
        </w:rPr>
        <w:lastRenderedPageBreak/>
        <w:t>Pythagorean Theorem</w:t>
      </w:r>
      <w:bookmarkEnd w:id="2"/>
    </w:p>
    <w:p w14:paraId="5004A500" w14:textId="77777777" w:rsidR="001A6BA4" w:rsidRDefault="004725F0">
      <w:pPr>
        <w:spacing w:after="220"/>
      </w:pPr>
      <w:r>
        <w:t xml:space="preserve">The square of the hypotenuse in a right triangle is equal to the sum of the squares of the two shorter sides. For example, in this right triangle, with hypotenuse </w:t>
      </w:r>
      <m:oMath>
        <m:r>
          <w:rPr>
            <w:rFonts w:ascii="Cambria Math" w:hAnsi="Cambria Math"/>
          </w:rPr>
          <m:t>c</m:t>
        </m:r>
      </m:oMath>
    </w:p>
    <w:p w14:paraId="5D3ADE8B" w14:textId="77777777" w:rsidR="001A6BA4" w:rsidRPr="00BC6F6D" w:rsidRDefault="004725F0">
      <w:pPr>
        <w:spacing w:after="22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16EC10D" w14:textId="2CDAE12E" w:rsidR="00BC6F6D" w:rsidRDefault="00BC6F6D" w:rsidP="00BC6F6D">
      <w:pPr>
        <w:spacing w:after="220"/>
        <w:jc w:val="center"/>
      </w:pPr>
      <w:r w:rsidRPr="00BC6F6D">
        <w:rPr>
          <w:noProof/>
        </w:rPr>
        <w:drawing>
          <wp:inline distT="0" distB="0" distL="0" distR="0" wp14:anchorId="63FD710F" wp14:editId="1D10668E">
            <wp:extent cx="2705100" cy="1727200"/>
            <wp:effectExtent l="0" t="0" r="0" b="0"/>
            <wp:docPr id="9175115" name="Picture 1" descr="A right-angled triangle with sides a, b, c, with the hypotenuse being 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5115" name="Picture 1" descr="A right-angled triangle with sides a, b, c, with the hypotenuse being c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869C4" w14:textId="77777777" w:rsidR="001A6BA4" w:rsidRDefault="004725F0" w:rsidP="00BC6F6D">
      <w:pPr>
        <w:pStyle w:val="Heading2"/>
      </w:pPr>
      <w:bookmarkStart w:id="3" w:name="trigonometric_ratios_of_30_circ_6_97b8f0"/>
      <w:r>
        <w:t xml:space="preserve">Trigonometric Ratios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30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∘</m:t>
            </m:r>
          </m:sup>
        </m:sSup>
        <m:r>
          <m:rPr>
            <m:sty m:val="b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60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∘</m:t>
            </m:r>
          </m:sup>
        </m:sSup>
        <m:r>
          <m:rPr>
            <m:sty m:val="b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90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 Triangles</w:t>
      </w:r>
      <w:bookmarkEnd w:id="3"/>
    </w:p>
    <w:p w14:paraId="447E53ED" w14:textId="77777777" w:rsidR="001A6BA4" w:rsidRDefault="004725F0">
      <w:pPr>
        <w:spacing w:after="220"/>
      </w:pPr>
      <w:r>
        <w:t>We begin with an equilateral triangle and cut it in half.</w:t>
      </w:r>
    </w:p>
    <w:p w14:paraId="3D668F21" w14:textId="5CADF876" w:rsidR="001A6BA4" w:rsidRDefault="004725F0" w:rsidP="00BC6F6D">
      <w:r>
        <w:rPr>
          <w:noProof/>
        </w:rPr>
        <w:drawing>
          <wp:inline distT="0" distB="0" distL="0" distR="0" wp14:anchorId="3FAB3F4B" wp14:editId="27A7F43E">
            <wp:extent cx="2867025" cy="2533650"/>
            <wp:effectExtent l="0" t="0" r="0" b="0"/>
            <wp:docPr id="4" name="image-bb788c814a60a5efa6d654e311ccfb5e8ce52f37.jpg" descr="Isosceles triangle with both slanted sides labeled x. A vertical altitude drops from the top vertex to the base and meets the base at a right angle (right-angle square shown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bb788c814a60a5efa6d654e311ccfb5e8ce52f37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6F6D">
        <w:t xml:space="preserve"> </w:t>
      </w:r>
      <w:r w:rsidR="00BC6F6D" w:rsidRPr="00BC6F6D">
        <w:rPr>
          <w:noProof/>
        </w:rPr>
        <w:drawing>
          <wp:inline distT="0" distB="0" distL="0" distR="0" wp14:anchorId="1921A4AE" wp14:editId="1642978A">
            <wp:extent cx="2573079" cy="1660331"/>
            <wp:effectExtent l="0" t="0" r="5080" b="3810"/>
            <wp:docPr id="1324238689" name="Picture 1" descr="A right-angled triangle with hypotenuse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238689" name="Picture 1" descr="A right-angled triangle with hypotenuse x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0655" cy="170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DAB46" w14:textId="323D1D1F" w:rsidR="001A6BA4" w:rsidRDefault="001A6B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C6F6D" w14:paraId="1B756084" w14:textId="77777777" w:rsidTr="00BC6F6D">
        <w:tc>
          <w:tcPr>
            <w:tcW w:w="4315" w:type="dxa"/>
          </w:tcPr>
          <w:p w14:paraId="60D686EF" w14:textId="78534CAF" w:rsidR="00BC6F6D" w:rsidRDefault="00BC6F6D">
            <w:pPr>
              <w:spacing w:after="22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4315" w:type="dxa"/>
          </w:tcPr>
          <w:p w14:paraId="21036CE5" w14:textId="6D9A87F0" w:rsidR="00BC6F6D" w:rsidRDefault="00BC6F6D">
            <w:pPr>
              <w:spacing w:after="22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sec⁡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cos⁡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∘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  <w:tr w:rsidR="00BC6F6D" w14:paraId="449F3D1E" w14:textId="77777777" w:rsidTr="00BC6F6D">
        <w:tc>
          <w:tcPr>
            <w:tcW w:w="4315" w:type="dxa"/>
          </w:tcPr>
          <w:p w14:paraId="01045AD5" w14:textId="22DBA882" w:rsidR="00BC6F6D" w:rsidRDefault="00BC6F6D">
            <w:pPr>
              <w:spacing w:after="22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4315" w:type="dxa"/>
          </w:tcPr>
          <w:p w14:paraId="1F1D5DAB" w14:textId="41C95B24" w:rsidR="00BC6F6D" w:rsidRDefault="00BC6F6D">
            <w:pPr>
              <w:spacing w:after="22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csc⁡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sin⁡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∘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  <w:tr w:rsidR="00BC6F6D" w14:paraId="705538BD" w14:textId="77777777" w:rsidTr="00BC6F6D">
        <w:tc>
          <w:tcPr>
            <w:tcW w:w="4315" w:type="dxa"/>
          </w:tcPr>
          <w:p w14:paraId="2BF87EA1" w14:textId="35ED8F43" w:rsidR="00BC6F6D" w:rsidRDefault="00BC6F6D">
            <w:pPr>
              <w:spacing w:after="22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tan⁡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4315" w:type="dxa"/>
          </w:tcPr>
          <w:p w14:paraId="771EB6BC" w14:textId="60BBAE38" w:rsidR="00BC6F6D" w:rsidRDefault="00BC6F6D">
            <w:pPr>
              <w:spacing w:after="22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cot⁡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tan⁡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∘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</w:tbl>
    <w:p w14:paraId="38739293" w14:textId="77777777" w:rsidR="00BC6F6D" w:rsidRPr="00BC6F6D" w:rsidRDefault="00BC6F6D">
      <w:pPr>
        <w:spacing w:after="220"/>
        <w:rPr>
          <w:rFonts w:eastAsiaTheme="minorEastAsia"/>
        </w:rPr>
      </w:pPr>
    </w:p>
    <w:p w14:paraId="2FF05E71" w14:textId="1B17947B" w:rsidR="001A6BA4" w:rsidRDefault="001A6BA4">
      <w:pPr>
        <w:spacing w:after="220"/>
      </w:pPr>
    </w:p>
    <w:p w14:paraId="3363EFDD" w14:textId="77777777" w:rsidR="001A6BA4" w:rsidRDefault="004725F0" w:rsidP="00BC6F6D">
      <w:pPr>
        <w:pStyle w:val="Heading2"/>
      </w:pPr>
      <w:bookmarkStart w:id="4" w:name="trigonometric_ratios_of_45_circ_4_cc8544"/>
      <w:r>
        <w:t xml:space="preserve">Trigonometric Ratios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45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∘</m:t>
            </m:r>
          </m:sup>
        </m:sSup>
        <m:r>
          <m:rPr>
            <m:sty m:val="b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45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∘</m:t>
            </m:r>
          </m:sup>
        </m:sSup>
        <m:r>
          <m:rPr>
            <m:sty m:val="b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90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 Triangles</w:t>
      </w:r>
      <w:bookmarkEnd w:id="4"/>
    </w:p>
    <w:p w14:paraId="0E5D68F6" w14:textId="77777777" w:rsidR="00BC6F6D" w:rsidRDefault="00BC6F6D">
      <w:pPr>
        <w:spacing w:after="220"/>
        <w:rPr>
          <w:rFonts w:eastAsiaTheme="minorEastAsia"/>
        </w:rPr>
      </w:pPr>
    </w:p>
    <w:p w14:paraId="2B42F870" w14:textId="6CB9BC22" w:rsidR="00BC6F6D" w:rsidRDefault="00BC6F6D" w:rsidP="00BC6F6D">
      <w:pPr>
        <w:spacing w:after="220"/>
        <w:jc w:val="center"/>
        <w:rPr>
          <w:rFonts w:eastAsiaTheme="minorEastAsia"/>
        </w:rPr>
      </w:pPr>
      <w:r w:rsidRPr="00BC6F6D">
        <w:rPr>
          <w:rFonts w:eastAsiaTheme="minorEastAsia"/>
          <w:noProof/>
        </w:rPr>
        <w:drawing>
          <wp:inline distT="0" distB="0" distL="0" distR="0" wp14:anchorId="2C7344DC" wp14:editId="1CBE91A1">
            <wp:extent cx="2977117" cy="2847557"/>
            <wp:effectExtent l="0" t="0" r="0" b="0"/>
            <wp:docPr id="1700230341" name="Picture 1" descr="An isoceles right-angled triangle with equal sides marked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230341" name="Picture 1" descr="An isoceles right-angled triangle with equal sides marked x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95919" cy="286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C6F6D" w14:paraId="29E83B98" w14:textId="77777777" w:rsidTr="00BC6F6D">
        <w:tc>
          <w:tcPr>
            <w:tcW w:w="4315" w:type="dxa"/>
          </w:tcPr>
          <w:p w14:paraId="4DB9D682" w14:textId="45C4DD95" w:rsidR="00BC6F6D" w:rsidRDefault="00BC6F6D" w:rsidP="00BC6F6D">
            <w:pPr>
              <w:spacing w:after="220"/>
              <w:jc w:val="center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4315" w:type="dxa"/>
          </w:tcPr>
          <w:p w14:paraId="6D672AF7" w14:textId="7F147DE8" w:rsidR="00BC6F6D" w:rsidRDefault="00BC6F6D" w:rsidP="00BC6F6D">
            <w:pPr>
              <w:spacing w:after="220"/>
              <w:jc w:val="center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sec⁡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cos⁡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∘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  <w:tr w:rsidR="00BC6F6D" w14:paraId="1D797F2E" w14:textId="77777777" w:rsidTr="00BC6F6D">
        <w:tc>
          <w:tcPr>
            <w:tcW w:w="4315" w:type="dxa"/>
          </w:tcPr>
          <w:p w14:paraId="4D43056B" w14:textId="0C042459" w:rsidR="00BC6F6D" w:rsidRDefault="00BC6F6D" w:rsidP="00BC6F6D">
            <w:pPr>
              <w:spacing w:after="220"/>
              <w:jc w:val="center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4315" w:type="dxa"/>
          </w:tcPr>
          <w:p w14:paraId="1F33B37D" w14:textId="1ED521C6" w:rsidR="00BC6F6D" w:rsidRDefault="00BC6F6D" w:rsidP="00BC6F6D">
            <w:pPr>
              <w:spacing w:after="220"/>
              <w:jc w:val="center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csc⁡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sin⁡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∘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  <w:tr w:rsidR="00BC6F6D" w14:paraId="34B5BA2E" w14:textId="77777777" w:rsidTr="00BC6F6D">
        <w:tc>
          <w:tcPr>
            <w:tcW w:w="4315" w:type="dxa"/>
          </w:tcPr>
          <w:p w14:paraId="5910C719" w14:textId="7FB649E0" w:rsidR="00BC6F6D" w:rsidRDefault="00BC6F6D" w:rsidP="00BC6F6D">
            <w:pPr>
              <w:spacing w:after="220"/>
              <w:jc w:val="center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tan⁡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4315" w:type="dxa"/>
          </w:tcPr>
          <w:p w14:paraId="73B2FD8B" w14:textId="3F9D7D06" w:rsidR="00BC6F6D" w:rsidRDefault="00BC6F6D" w:rsidP="00BC6F6D">
            <w:pPr>
              <w:spacing w:after="220"/>
              <w:jc w:val="center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cot⁡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tan⁡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∘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</w:tbl>
    <w:p w14:paraId="65513EB2" w14:textId="77777777" w:rsidR="00BC6F6D" w:rsidRPr="00BC6F6D" w:rsidRDefault="00BC6F6D" w:rsidP="00BC6F6D">
      <w:pPr>
        <w:spacing w:after="220"/>
        <w:jc w:val="center"/>
        <w:rPr>
          <w:rFonts w:eastAsiaTheme="minorEastAsia"/>
        </w:rPr>
      </w:pPr>
    </w:p>
    <w:p w14:paraId="1BF5D0D2" w14:textId="17D22EA4" w:rsidR="001A6BA4" w:rsidRDefault="001A6BA4">
      <w:pPr>
        <w:spacing w:after="220"/>
      </w:pPr>
    </w:p>
    <w:p w14:paraId="347B789A" w14:textId="77777777" w:rsidR="00BC6F6D" w:rsidRDefault="00BC6F6D">
      <w:pPr>
        <w:rPr>
          <w:b/>
          <w:sz w:val="28"/>
        </w:rPr>
      </w:pPr>
      <w:r>
        <w:br w:type="page"/>
      </w:r>
    </w:p>
    <w:p w14:paraId="4058D278" w14:textId="75540CC9" w:rsidR="001A6BA4" w:rsidRDefault="004725F0">
      <w:pPr>
        <w:pStyle w:val="Heading2"/>
      </w:pPr>
      <w:r>
        <w:lastRenderedPageBreak/>
        <w:t>EX 3</w:t>
      </w:r>
    </w:p>
    <w:p w14:paraId="2A8F18B1" w14:textId="77777777" w:rsidR="001A6BA4" w:rsidRDefault="004725F0">
      <w:pPr>
        <w:spacing w:after="220"/>
      </w:pPr>
      <w:r>
        <w:t>Find the missing parts of these right triangles.</w:t>
      </w:r>
    </w:p>
    <w:p w14:paraId="45CDB7A2" w14:textId="4319AE42" w:rsidR="001A6BA4" w:rsidRDefault="001A6BA4">
      <w:pPr>
        <w:spacing w:after="220"/>
      </w:pP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684"/>
        <w:gridCol w:w="834"/>
        <w:gridCol w:w="864"/>
        <w:gridCol w:w="860"/>
      </w:tblGrid>
      <w:tr w:rsidR="001A6BA4" w14:paraId="61CB4AC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A8A76" w14:textId="77777777" w:rsidR="001A6BA4" w:rsidRDefault="004725F0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θ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E84B8" w14:textId="77777777" w:rsidR="001A6BA4" w:rsidRDefault="004725F0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θ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654FF" w14:textId="77777777" w:rsidR="001A6BA4" w:rsidRDefault="004725F0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θ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78D0F" w14:textId="77777777" w:rsidR="001A6BA4" w:rsidRDefault="004725F0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tan⁡</m:t>
                </m:r>
                <m:r>
                  <w:rPr>
                    <w:rFonts w:ascii="Cambria Math" w:hAnsi="Cambria Math"/>
                  </w:rPr>
                  <m:t>θ</m:t>
                </m:r>
              </m:oMath>
            </m:oMathPara>
          </w:p>
        </w:tc>
      </w:tr>
      <w:tr w:rsidR="001A6BA4" w14:paraId="275F58D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13F7D" w14:textId="77777777" w:rsidR="001A6BA4" w:rsidRDefault="004725F0">
            <w:pPr>
              <w:jc w:val="center"/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DED6DE8" w14:textId="77777777" w:rsidR="001A6BA4" w:rsidRDefault="004725F0">
            <w:pPr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89E52C6" w14:textId="77777777" w:rsidR="001A6BA4" w:rsidRDefault="004725F0">
            <w:pPr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CDA2237" w14:textId="77777777" w:rsidR="001A6BA4" w:rsidRDefault="004725F0">
            <w:pPr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</w:tr>
      <w:tr w:rsidR="001A6BA4" w14:paraId="6A05849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12208" w14:textId="77777777" w:rsidR="001A6BA4" w:rsidRDefault="004725F0">
            <w:pPr>
              <w:jc w:val="center"/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AE3372A" w14:textId="77777777" w:rsidR="001A6BA4" w:rsidRDefault="004725F0">
            <w:pPr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9C8312F" w14:textId="77777777" w:rsidR="001A6BA4" w:rsidRDefault="004725F0">
            <w:pPr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0139344" w14:textId="77777777" w:rsidR="001A6BA4" w:rsidRDefault="004725F0">
            <w:pPr>
              <w:jc w:val="center"/>
            </w:pPr>
            <w:r>
              <w:t>1</w:t>
            </w:r>
          </w:p>
        </w:tc>
      </w:tr>
      <w:tr w:rsidR="001A6BA4" w14:paraId="3F01D2B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BD251" w14:textId="77777777" w:rsidR="001A6BA4" w:rsidRDefault="004725F0">
            <w:pPr>
              <w:jc w:val="center"/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080623D" w14:textId="77777777" w:rsidR="001A6BA4" w:rsidRDefault="004725F0">
            <w:pPr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8459EE5" w14:textId="77777777" w:rsidR="001A6BA4" w:rsidRDefault="004725F0">
            <w:pPr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1ED7DD9" w14:textId="77777777" w:rsidR="001A6BA4" w:rsidRDefault="004725F0">
            <w:pPr>
              <w:jc w:val="center"/>
            </w:pPr>
            <m:oMathPara>
              <m:oMathParaPr>
                <m:jc m:val="center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rad>
              </m:oMath>
            </m:oMathPara>
          </w:p>
        </w:tc>
      </w:tr>
    </w:tbl>
    <w:p w14:paraId="3E819EC0" w14:textId="5DB2CF6E" w:rsidR="001A6BA4" w:rsidRDefault="001A6BA4"/>
    <w:p w14:paraId="58A5643C" w14:textId="6B7E767F" w:rsidR="00F234B1" w:rsidRDefault="00F234B1">
      <w:r w:rsidRPr="00F234B1">
        <w:rPr>
          <w:noProof/>
        </w:rPr>
        <w:drawing>
          <wp:inline distT="0" distB="0" distL="0" distR="0" wp14:anchorId="616F839C" wp14:editId="0A577F44">
            <wp:extent cx="2392326" cy="1496204"/>
            <wp:effectExtent l="0" t="0" r="0" b="2540"/>
            <wp:docPr id="1127934749" name="Picture 1" descr="A right-angled triangle labeled XYZ. Y is the right-angle, Z is 45 degrees, XZ is 10 units in leng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934749" name="Picture 1" descr="A right-angled triangle labeled XYZ. Y is the right-angle, Z is 45 degrees, XZ is 10 units in length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02154" cy="150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F234B1">
        <w:rPr>
          <w:noProof/>
        </w:rPr>
        <w:drawing>
          <wp:inline distT="0" distB="0" distL="0" distR="0" wp14:anchorId="6D94C8BD" wp14:editId="53A5445C">
            <wp:extent cx="1860698" cy="1479937"/>
            <wp:effectExtent l="0" t="0" r="0" b="6350"/>
            <wp:docPr id="679042436" name="Picture 1" descr="A right-angled triangle labeled MLK. L is the right-angle, K is 30 degrees, LK is 8 units in leng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42436" name="Picture 1" descr="A right-angled triangle labeled MLK. L is the right-angle, K is 30 degrees, LK is 8 units in length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82989" cy="149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80E47" w14:textId="531B6920" w:rsidR="00F234B1" w:rsidRDefault="00F234B1">
      <w:r w:rsidRPr="00F234B1">
        <w:rPr>
          <w:noProof/>
        </w:rPr>
        <w:drawing>
          <wp:inline distT="0" distB="0" distL="0" distR="0" wp14:anchorId="5D9CCC69" wp14:editId="6F2EF6B6">
            <wp:extent cx="3019647" cy="1849534"/>
            <wp:effectExtent l="0" t="0" r="3175" b="5080"/>
            <wp:docPr id="241741361" name="Picture 1" descr="A right-angled triangle. One angle is theta, the opposite is t, adjacent is 13, and hypotenuse is 1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741361" name="Picture 1" descr="A right-angled triangle. One angle is theta, the opposite is t, adjacent is 13, and hypotenuse is 13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37124" cy="186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2658B" w14:textId="77777777" w:rsidR="00F234B1" w:rsidRDefault="00F234B1"/>
    <w:p w14:paraId="110ECD94" w14:textId="77777777" w:rsidR="00BC6F6D" w:rsidRDefault="00BC6F6D" w:rsidP="00BC6F6D">
      <w:pPr>
        <w:pStyle w:val="Heading3"/>
      </w:pPr>
      <w:r>
        <w:t>3a)</w:t>
      </w:r>
    </w:p>
    <w:p w14:paraId="7FF15212" w14:textId="77777777" w:rsidR="00BC6F6D" w:rsidRDefault="00BC6F6D" w:rsidP="00BC6F6D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</m:oMath>
    </w:p>
    <w:p w14:paraId="67E67C4A" w14:textId="77777777" w:rsidR="00BC6F6D" w:rsidRDefault="00BC6F6D" w:rsidP="00BC6F6D">
      <w:pPr>
        <w:pStyle w:val="Heading3"/>
      </w:pPr>
      <w:r>
        <w:t>3b)</w:t>
      </w:r>
    </w:p>
    <w:p w14:paraId="103B178D" w14:textId="77777777" w:rsidR="00BC6F6D" w:rsidRDefault="00BC6F6D" w:rsidP="00BC6F6D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</m:oMath>
    </w:p>
    <w:p w14:paraId="46032895" w14:textId="77777777" w:rsidR="00BC6F6D" w:rsidRDefault="00BC6F6D" w:rsidP="00BC6F6D">
      <w:pPr>
        <w:pStyle w:val="Heading3"/>
      </w:pPr>
      <w:r>
        <w:t>3c)</w:t>
      </w:r>
    </w:p>
    <w:p w14:paraId="0238A3FD" w14:textId="77777777" w:rsidR="00BC6F6D" w:rsidRDefault="00BC6F6D" w:rsidP="00BC6F6D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</m:oMath>
    </w:p>
    <w:p w14:paraId="51F7DBCE" w14:textId="77777777" w:rsidR="00BC6F6D" w:rsidRDefault="00BC6F6D" w:rsidP="00BC6F6D">
      <w:pPr>
        <w:pStyle w:val="Heading3"/>
      </w:pPr>
      <w:r>
        <w:lastRenderedPageBreak/>
        <w:t>3d)</w:t>
      </w:r>
    </w:p>
    <w:p w14:paraId="4B838EEC" w14:textId="2CB83ED6" w:rsidR="00BC6F6D" w:rsidRDefault="00BC6F6D" w:rsidP="00BC6F6D">
      <w:r>
        <w:t xml:space="preserve">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=</m:t>
        </m:r>
      </m:oMath>
    </w:p>
    <w:p w14:paraId="0DB40525" w14:textId="77777777" w:rsidR="001A6BA4" w:rsidRDefault="004725F0">
      <w:pPr>
        <w:pStyle w:val="Heading3"/>
      </w:pPr>
      <w:r>
        <w:t>3e)</w:t>
      </w:r>
    </w:p>
    <w:p w14:paraId="4E36044D" w14:textId="77777777" w:rsidR="001A6BA4" w:rsidRDefault="004725F0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</m:oMath>
    </w:p>
    <w:p w14:paraId="094FF018" w14:textId="77777777" w:rsidR="001A6BA4" w:rsidRDefault="004725F0">
      <w:pPr>
        <w:pStyle w:val="Heading3"/>
      </w:pPr>
      <w:r>
        <w:t>3f)</w:t>
      </w:r>
    </w:p>
    <w:p w14:paraId="5ABA6E55" w14:textId="77777777" w:rsidR="001A6BA4" w:rsidRDefault="004725F0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</m:t>
        </m:r>
      </m:oMath>
    </w:p>
    <w:p w14:paraId="3D2793C3" w14:textId="77777777" w:rsidR="001A6BA4" w:rsidRDefault="004725F0">
      <w:pPr>
        <w:pStyle w:val="Heading3"/>
      </w:pPr>
      <w:r>
        <w:t>3g)</w:t>
      </w:r>
    </w:p>
    <w:p w14:paraId="6394BC44" w14:textId="77777777" w:rsidR="00F234B1" w:rsidRPr="00F234B1" w:rsidRDefault="004725F0">
      <w:pPr>
        <w:spacing w:after="220"/>
        <w:rPr>
          <w:rFonts w:eastAsiaTheme="minorEastAsia"/>
        </w:rPr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se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</w:rPr>
          <m:t>=</m:t>
        </m:r>
      </m:oMath>
    </w:p>
    <w:p w14:paraId="325C745C" w14:textId="0576FC00" w:rsidR="001A6BA4" w:rsidRPr="00F234B1" w:rsidRDefault="00F234B1">
      <w:pPr>
        <w:spacing w:after="220"/>
        <w:rPr>
          <w:rFonts w:eastAsiaTheme="minorEastAsia"/>
        </w:rPr>
      </w:pPr>
      <w:r w:rsidRPr="00F234B1">
        <w:rPr>
          <w:b/>
          <w:sz w:val="24"/>
        </w:rPr>
        <w:t>3h)</w:t>
      </w:r>
      <w:r w:rsidRPr="00F234B1">
        <w:rPr>
          <w:b/>
          <w:sz w:val="24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tan⁡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1FE8C311" w14:textId="77777777" w:rsidR="001A6BA4" w:rsidRDefault="004725F0">
      <w:pPr>
        <w:jc w:val="center"/>
      </w:pPr>
      <w:r>
        <w:rPr>
          <w:noProof/>
        </w:rPr>
        <w:drawing>
          <wp:inline distT="0" distB="0" distL="0" distR="0" wp14:anchorId="7151B9C0" wp14:editId="674FE2AC">
            <wp:extent cx="5486400" cy="1117117"/>
            <wp:effectExtent l="0" t="0" r="0" b="0"/>
            <wp:docPr id="5" name="image-c9f8618bab4d3f18108a035c00c103254a1e54dc.jpg" descr="Two-panel diagram comparing angles of inclination and depression. Left (“Angle of inclination”): a horizontal line with a dotted line rising up to the right toward a red star. Right (“Angle of depression”): a horizontal line at the height of an airplane, with a dotted line sloping downward to the left toward a small red hear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c9f8618bab4d3f18108a035c00c103254a1e54dc.jpg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CB153" w14:textId="77777777" w:rsidR="009029DD" w:rsidRDefault="009029DD" w:rsidP="001D6267"/>
    <w:p w14:paraId="3F902E41" w14:textId="4D5AA1C4" w:rsidR="001A6BA4" w:rsidRDefault="004725F0">
      <w:pPr>
        <w:pStyle w:val="Heading2"/>
      </w:pPr>
      <w:r>
        <w:t>EX 4</w:t>
      </w:r>
    </w:p>
    <w:p w14:paraId="194B4D9B" w14:textId="77777777" w:rsidR="001A6BA4" w:rsidRDefault="004725F0">
      <w:pPr>
        <w:spacing w:after="220"/>
      </w:pPr>
      <w:r>
        <w:t xml:space="preserve">The angle of inclination from a point on the ground 40 feet from the base of a tower is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>. How tall is the tower?</w:t>
      </w:r>
    </w:p>
    <w:p w14:paraId="7C868B65" w14:textId="77777777" w:rsidR="009029DD" w:rsidRDefault="009029DD" w:rsidP="001D6267"/>
    <w:p w14:paraId="712E65E5" w14:textId="77777777" w:rsidR="009029DD" w:rsidRDefault="009029DD" w:rsidP="001D6267"/>
    <w:p w14:paraId="761ABEDC" w14:textId="77777777" w:rsidR="009029DD" w:rsidRDefault="009029DD" w:rsidP="001D6267"/>
    <w:p w14:paraId="04A9B38A" w14:textId="77777777" w:rsidR="009029DD" w:rsidRDefault="009029DD" w:rsidP="001D6267"/>
    <w:p w14:paraId="6A653676" w14:textId="77777777" w:rsidR="009029DD" w:rsidRDefault="009029DD" w:rsidP="001D6267"/>
    <w:p w14:paraId="78ECEC8D" w14:textId="7D596ADA" w:rsidR="001A6BA4" w:rsidRDefault="004725F0">
      <w:pPr>
        <w:pStyle w:val="Heading2"/>
      </w:pPr>
      <w:r>
        <w:t>EX 5</w:t>
      </w:r>
    </w:p>
    <w:p w14:paraId="343BD4BC" w14:textId="77777777" w:rsidR="001A6BA4" w:rsidRDefault="004725F0">
      <w:pPr>
        <w:spacing w:after="220"/>
      </w:pPr>
      <w:r>
        <w:t xml:space="preserve">If a 50-foot tight-rope from the corner of the top of a building meets the ground at an angle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45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>, how tall is the building?</w:t>
      </w:r>
    </w:p>
    <w:sectPr w:rsidR="001A6BA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notTrueType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27EE"/>
    <w:multiLevelType w:val="hybridMultilevel"/>
    <w:tmpl w:val="02282CFC"/>
    <w:lvl w:ilvl="0" w:tplc="09E86E7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2325D76">
      <w:numFmt w:val="decimal"/>
      <w:lvlText w:val=""/>
      <w:lvlJc w:val="left"/>
    </w:lvl>
    <w:lvl w:ilvl="2" w:tplc="06DEED88">
      <w:numFmt w:val="decimal"/>
      <w:lvlText w:val=""/>
      <w:lvlJc w:val="left"/>
    </w:lvl>
    <w:lvl w:ilvl="3" w:tplc="20E2DE2C">
      <w:numFmt w:val="decimal"/>
      <w:lvlText w:val=""/>
      <w:lvlJc w:val="left"/>
    </w:lvl>
    <w:lvl w:ilvl="4" w:tplc="D0526F1A">
      <w:numFmt w:val="decimal"/>
      <w:lvlText w:val=""/>
      <w:lvlJc w:val="left"/>
    </w:lvl>
    <w:lvl w:ilvl="5" w:tplc="A7B8CA00">
      <w:numFmt w:val="decimal"/>
      <w:lvlText w:val=""/>
      <w:lvlJc w:val="left"/>
    </w:lvl>
    <w:lvl w:ilvl="6" w:tplc="E2601AD2">
      <w:numFmt w:val="decimal"/>
      <w:lvlText w:val=""/>
      <w:lvlJc w:val="left"/>
    </w:lvl>
    <w:lvl w:ilvl="7" w:tplc="292A8BA4">
      <w:numFmt w:val="decimal"/>
      <w:lvlText w:val=""/>
      <w:lvlJc w:val="left"/>
    </w:lvl>
    <w:lvl w:ilvl="8" w:tplc="93F8F4CC">
      <w:numFmt w:val="decimal"/>
      <w:lvlText w:val=""/>
      <w:lvlJc w:val="left"/>
    </w:lvl>
  </w:abstractNum>
  <w:abstractNum w:abstractNumId="1" w15:restartNumberingAfterBreak="0">
    <w:nsid w:val="2B691F65"/>
    <w:multiLevelType w:val="hybridMultilevel"/>
    <w:tmpl w:val="25B8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7A8D"/>
    <w:multiLevelType w:val="hybridMultilevel"/>
    <w:tmpl w:val="8ECC8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90945"/>
    <w:multiLevelType w:val="hybridMultilevel"/>
    <w:tmpl w:val="D370EC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469120">
    <w:abstractNumId w:val="0"/>
  </w:num>
  <w:num w:numId="2" w16cid:durableId="2099786932">
    <w:abstractNumId w:val="1"/>
  </w:num>
  <w:num w:numId="3" w16cid:durableId="1706522694">
    <w:abstractNumId w:val="2"/>
  </w:num>
  <w:num w:numId="4" w16cid:durableId="1346787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4"/>
    <w:rsid w:val="001A6BA4"/>
    <w:rsid w:val="001D6267"/>
    <w:rsid w:val="004725F0"/>
    <w:rsid w:val="00573C50"/>
    <w:rsid w:val="009029DD"/>
    <w:rsid w:val="00BC6F6D"/>
    <w:rsid w:val="00C9727E"/>
    <w:rsid w:val="00CF2F37"/>
    <w:rsid w:val="00F2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189F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ListParagraph">
    <w:name w:val="List Paragraph"/>
    <w:basedOn w:val="Normal"/>
    <w:uiPriority w:val="34"/>
    <w:qFormat/>
    <w:rsid w:val="00573C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6F6D"/>
    <w:rPr>
      <w:color w:val="666666"/>
    </w:rPr>
  </w:style>
  <w:style w:type="table" w:styleId="TableGrid">
    <w:name w:val="Table Grid"/>
    <w:basedOn w:val="TableNormal"/>
    <w:uiPriority w:val="39"/>
    <w:rsid w:val="00BC6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#2 - Right Triangles</dc:title>
  <dc:subject/>
  <dc:creator>html-to-docx</dc:creator>
  <cp:keywords>html-to-docx</cp:keywords>
  <dc:description/>
  <cp:lastModifiedBy>Karl Schwede</cp:lastModifiedBy>
  <cp:revision>5</cp:revision>
  <dcterms:created xsi:type="dcterms:W3CDTF">2026-03-02T17:25:00Z</dcterms:created>
  <dcterms:modified xsi:type="dcterms:W3CDTF">2026-04-13T03:54:00Z</dcterms:modified>
</cp:coreProperties>
</file>