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D6" w:rsidRPr="00386071" w:rsidRDefault="00292BD6" w:rsidP="00292BD6">
      <w:pPr>
        <w:rPr>
          <w:sz w:val="48"/>
        </w:rPr>
      </w:pPr>
      <w:r w:rsidRPr="00386071">
        <w:rPr>
          <w:sz w:val="48"/>
        </w:rPr>
        <w:t>Name:</w:t>
      </w:r>
      <w:bookmarkStart w:id="0" w:name="_GoBack"/>
      <w:bookmarkEnd w:id="0"/>
    </w:p>
    <w:p w:rsidR="00386071" w:rsidRDefault="00386071"/>
    <w:p w:rsidR="00B15217" w:rsidRDefault="00B15217">
      <w:r>
        <w:t>Question 1 (11.1a in the textbook)</w:t>
      </w:r>
    </w:p>
    <w:p w:rsidR="00B15217" w:rsidRDefault="00B15217">
      <w:r>
        <w:rPr>
          <w:noProof/>
        </w:rPr>
        <w:drawing>
          <wp:inline distT="0" distB="0" distL="0" distR="0" wp14:anchorId="7295E01F" wp14:editId="5A8B18A6">
            <wp:extent cx="5943600" cy="679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217" w:rsidRDefault="00B15217" w:rsidP="00B15217">
      <w:r>
        <w:t>Note that z</w:t>
      </w:r>
      <w:r w:rsidRPr="00B15217">
        <w:rPr>
          <w:vertAlign w:val="subscript"/>
        </w:rPr>
        <w:t>0.95</w:t>
      </w:r>
      <w:r>
        <w:t xml:space="preserve"> = 1.645,</w:t>
      </w:r>
      <w:r>
        <w:t xml:space="preserve"> </w:t>
      </w:r>
      <w:proofErr w:type="gramStart"/>
      <w:r>
        <w:t>t</w:t>
      </w:r>
      <w:r w:rsidRPr="00B15217">
        <w:rPr>
          <w:vertAlign w:val="subscript"/>
        </w:rPr>
        <w:t>0.95</w:t>
      </w:r>
      <w:r>
        <w:t>(</w:t>
      </w:r>
      <w:proofErr w:type="gramEnd"/>
      <w:r>
        <w:t xml:space="preserve">15) = </w:t>
      </w:r>
      <w:r>
        <w:t>1.753</w:t>
      </w:r>
      <w:r>
        <w:t>,</w:t>
      </w:r>
      <w:r>
        <w:t xml:space="preserve"> t</w:t>
      </w:r>
      <w:r w:rsidRPr="00B15217">
        <w:rPr>
          <w:vertAlign w:val="subscript"/>
        </w:rPr>
        <w:t>0.95</w:t>
      </w:r>
      <w:r>
        <w:t>(16</w:t>
      </w:r>
      <w:r>
        <w:t xml:space="preserve">) = </w:t>
      </w:r>
      <w:r>
        <w:t>1.746</w:t>
      </w:r>
      <w:r>
        <w:t>,</w:t>
      </w:r>
      <w:r>
        <w:t xml:space="preserve"> t</w:t>
      </w:r>
      <w:r w:rsidRPr="00B15217">
        <w:rPr>
          <w:vertAlign w:val="subscript"/>
        </w:rPr>
        <w:t>0.95</w:t>
      </w:r>
      <w:r>
        <w:t>(17</w:t>
      </w:r>
      <w:r>
        <w:t xml:space="preserve">) = </w:t>
      </w:r>
      <w:r>
        <w:t>1.740</w:t>
      </w:r>
      <w:r>
        <w:t>,</w:t>
      </w:r>
      <w:r>
        <w:t xml:space="preserve"> χ</w:t>
      </w:r>
      <w:r w:rsidRPr="00B15217">
        <w:rPr>
          <w:vertAlign w:val="superscript"/>
        </w:rPr>
        <w:t>2</w:t>
      </w:r>
      <w:r w:rsidRPr="00B15217">
        <w:rPr>
          <w:vertAlign w:val="subscript"/>
        </w:rPr>
        <w:t>0.95</w:t>
      </w:r>
      <w:r>
        <w:t xml:space="preserve">(15)  </w:t>
      </w:r>
      <w:r>
        <w:t>=</w:t>
      </w:r>
      <w:r>
        <w:t>24.996</w:t>
      </w:r>
      <w:r>
        <w:t xml:space="preserve"> , χ</w:t>
      </w:r>
      <w:r w:rsidRPr="00B15217">
        <w:rPr>
          <w:vertAlign w:val="superscript"/>
        </w:rPr>
        <w:t>2</w:t>
      </w:r>
      <w:r w:rsidRPr="00B15217">
        <w:rPr>
          <w:vertAlign w:val="subscript"/>
        </w:rPr>
        <w:t>0.95</w:t>
      </w:r>
      <w:r>
        <w:t>(16</w:t>
      </w:r>
      <w:r>
        <w:t>)</w:t>
      </w:r>
      <w:r w:rsidRPr="00B15217">
        <w:t xml:space="preserve"> </w:t>
      </w:r>
      <w:r>
        <w:t xml:space="preserve">= </w:t>
      </w:r>
      <w:r>
        <w:t>26.296</w:t>
      </w:r>
      <w:r>
        <w:t>, χ</w:t>
      </w:r>
      <w:r w:rsidRPr="00B15217">
        <w:rPr>
          <w:vertAlign w:val="superscript"/>
        </w:rPr>
        <w:t>2</w:t>
      </w:r>
      <w:r w:rsidRPr="00B15217">
        <w:rPr>
          <w:vertAlign w:val="subscript"/>
        </w:rPr>
        <w:t>0.95</w:t>
      </w:r>
      <w:r>
        <w:t>(17</w:t>
      </w:r>
      <w:r>
        <w:t>)</w:t>
      </w:r>
      <w:r>
        <w:t xml:space="preserve"> = 27.587.</w:t>
      </w:r>
    </w:p>
    <w:p w:rsidR="00B15217" w:rsidRDefault="00B15217">
      <w:r>
        <w:br w:type="page"/>
      </w:r>
    </w:p>
    <w:p w:rsidR="00B15217" w:rsidRDefault="00B15217" w:rsidP="00B15217">
      <w:r>
        <w:lastRenderedPageBreak/>
        <w:t>Question 2 (11.19 in the textbook)</w:t>
      </w:r>
    </w:p>
    <w:p w:rsidR="00B15217" w:rsidRDefault="00B15217" w:rsidP="00B15217">
      <w:r>
        <w:rPr>
          <w:noProof/>
        </w:rPr>
        <w:drawing>
          <wp:inline distT="0" distB="0" distL="0" distR="0" wp14:anchorId="66680240" wp14:editId="15BCF614">
            <wp:extent cx="5943600" cy="6013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071" w:rsidRDefault="00386071">
      <w:r>
        <w:br w:type="page"/>
      </w:r>
    </w:p>
    <w:p w:rsidR="00386071" w:rsidRDefault="00386071" w:rsidP="00B15217">
      <w:r>
        <w:lastRenderedPageBreak/>
        <w:t>Question 3 (12.19a in the textbook)</w:t>
      </w:r>
    </w:p>
    <w:p w:rsidR="00386071" w:rsidRDefault="00386071" w:rsidP="00B15217">
      <w:r>
        <w:rPr>
          <w:noProof/>
        </w:rPr>
        <w:drawing>
          <wp:inline distT="0" distB="0" distL="0" distR="0" wp14:anchorId="7D76E8E1" wp14:editId="49B78543">
            <wp:extent cx="5943600" cy="5251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071" w:rsidRDefault="00386071">
      <w:r>
        <w:br w:type="page"/>
      </w:r>
    </w:p>
    <w:p w:rsidR="00386071" w:rsidRDefault="00386071" w:rsidP="00B15217">
      <w:pPr>
        <w:rPr>
          <w:noProof/>
        </w:rPr>
      </w:pPr>
      <w:r>
        <w:lastRenderedPageBreak/>
        <w:t>Question 4 (12.30a from the textbook)</w:t>
      </w:r>
    </w:p>
    <w:p w:rsidR="00386071" w:rsidRDefault="00386071" w:rsidP="00B15217">
      <w:r>
        <w:rPr>
          <w:noProof/>
        </w:rPr>
        <w:drawing>
          <wp:inline distT="0" distB="0" distL="0" distR="0" wp14:anchorId="1DE81FFD" wp14:editId="6D1FE913">
            <wp:extent cx="5943600" cy="7893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E6C" w:rsidRDefault="00034E6C">
      <w:r>
        <w:br w:type="page"/>
      </w:r>
    </w:p>
    <w:p w:rsidR="00034E6C" w:rsidRDefault="00A841D5" w:rsidP="00B15217">
      <w:r>
        <w:lastRenderedPageBreak/>
        <w:t>Question 5</w:t>
      </w:r>
    </w:p>
    <w:p w:rsidR="00386071" w:rsidRDefault="00034E6C" w:rsidP="00B15217">
      <w:r>
        <w:t xml:space="preserve">Circle </w:t>
      </w:r>
      <w:r w:rsidR="00AE2DA5">
        <w:t xml:space="preserve">only </w:t>
      </w:r>
      <w:r>
        <w:t>the statements that are true.</w:t>
      </w:r>
      <w:r w:rsidR="00A841D5">
        <w:t xml:space="preserve">  You will get 1 point for 6 correct answers; 2 points for 7 correct; 3 points for 8 correct; 4 points for 9 correct.  In other words, you will get </w:t>
      </w:r>
      <w:proofErr w:type="gramStart"/>
      <w:r w:rsidR="00A841D5">
        <w:t>max(</w:t>
      </w:r>
      <w:proofErr w:type="gramEnd"/>
      <w:r w:rsidR="00A841D5">
        <w:t># correct – 5, 0) points for this problem.</w:t>
      </w:r>
    </w:p>
    <w:p w:rsidR="00034E6C" w:rsidRDefault="00034E6C" w:rsidP="00A841D5">
      <w:pPr>
        <w:pStyle w:val="ListParagraph"/>
        <w:numPr>
          <w:ilvl w:val="0"/>
          <w:numId w:val="1"/>
        </w:numPr>
      </w:pPr>
      <w:r>
        <w:t>A random interval that contains the parameter of interest with 95% probability is called a confidence interval for the parameter of interest.</w:t>
      </w:r>
    </w:p>
    <w:p w:rsidR="00AE2DA5" w:rsidRDefault="00AA7D01" w:rsidP="00A841D5">
      <w:pPr>
        <w:pStyle w:val="ListParagraph"/>
        <w:numPr>
          <w:ilvl w:val="0"/>
          <w:numId w:val="1"/>
        </w:numPr>
      </w:pPr>
      <w:r>
        <w:t>If t</w:t>
      </w:r>
      <w:r w:rsidR="00AE2DA5">
        <w:t>wo researchers use the exact same data from an experiment and report different confidence intervals for the same parameter</w:t>
      </w:r>
      <w:r>
        <w:t>, then one or both of them has made a mistake</w:t>
      </w:r>
      <w:r w:rsidR="00AE2DA5">
        <w:t>.</w:t>
      </w:r>
    </w:p>
    <w:p w:rsidR="00AE2DA5" w:rsidRDefault="00AE2DA5" w:rsidP="00A841D5">
      <w:pPr>
        <w:pStyle w:val="ListParagraph"/>
        <w:numPr>
          <w:ilvl w:val="0"/>
          <w:numId w:val="1"/>
        </w:numPr>
      </w:pPr>
      <w:r>
        <w:t>A two-sided equal-tailed confidence interval is most appropriate when a drug company wants to establish (with 95% confidence) that no more than 5% of people will have an allergic reaction to a birth control patch that they are developing.</w:t>
      </w:r>
    </w:p>
    <w:p w:rsidR="00AE2DA5" w:rsidRDefault="00AE2DA5" w:rsidP="00A841D5">
      <w:pPr>
        <w:pStyle w:val="ListParagraph"/>
        <w:numPr>
          <w:ilvl w:val="0"/>
          <w:numId w:val="1"/>
        </w:numPr>
      </w:pPr>
      <w:r w:rsidRPr="00AE2DA5">
        <w:t>MLE – θ is a pivotal quantity for θ</w:t>
      </w:r>
      <w:r>
        <w:t xml:space="preserve"> if MLE is a maximum likelihood estimator for </w:t>
      </w:r>
      <w:r w:rsidRPr="00AE2DA5">
        <w:t>θ</w:t>
      </w:r>
      <w:r>
        <w:t xml:space="preserve"> and </w:t>
      </w:r>
      <w:r w:rsidRPr="00AE2DA5">
        <w:t>θ</w:t>
      </w:r>
      <w:r>
        <w:t xml:space="preserve"> is a scale parameter.</w:t>
      </w:r>
    </w:p>
    <w:p w:rsidR="00AE2DA5" w:rsidRDefault="00AE2DA5" w:rsidP="00A841D5">
      <w:pPr>
        <w:pStyle w:val="ListParagraph"/>
        <w:numPr>
          <w:ilvl w:val="0"/>
          <w:numId w:val="1"/>
        </w:numPr>
      </w:pPr>
      <w:r>
        <w:t>Pivotal quantities are sometimes functions of the random sample but not the parameter of interest.</w:t>
      </w:r>
    </w:p>
    <w:p w:rsidR="00AA7D01" w:rsidRDefault="00AE2DA5" w:rsidP="00A841D5">
      <w:pPr>
        <w:pStyle w:val="ListParagraph"/>
        <w:numPr>
          <w:ilvl w:val="0"/>
          <w:numId w:val="1"/>
        </w:numPr>
      </w:pPr>
      <w:r>
        <w:t>If (1, 2) is a 95% confidence interval for μ, then (1, 4) may sometimes not be a 95% confidence interval for μ</w:t>
      </w:r>
      <w:r w:rsidRPr="00A841D5">
        <w:rPr>
          <w:vertAlign w:val="superscript"/>
        </w:rPr>
        <w:t>2</w:t>
      </w:r>
      <w:r>
        <w:t xml:space="preserve">. </w:t>
      </w:r>
    </w:p>
    <w:p w:rsidR="00AA7D01" w:rsidRDefault="00AA7D01" w:rsidP="00A841D5">
      <w:pPr>
        <w:pStyle w:val="ListParagraph"/>
        <w:numPr>
          <w:ilvl w:val="0"/>
          <w:numId w:val="1"/>
        </w:numPr>
      </w:pPr>
      <w:r>
        <w:t>If the null hypothesis is not rejected, then you should conclude that the alternative hypothesis is plausible.</w:t>
      </w:r>
    </w:p>
    <w:p w:rsidR="00AA7D01" w:rsidRDefault="00AA7D01" w:rsidP="00A841D5">
      <w:pPr>
        <w:pStyle w:val="ListParagraph"/>
        <w:numPr>
          <w:ilvl w:val="0"/>
          <w:numId w:val="1"/>
        </w:numPr>
      </w:pPr>
      <w:r>
        <w:t>The Neyman-Pearson lemma provide a method to obtain the most powerful test of a simple null hypothesis against a two-sided alternative.</w:t>
      </w:r>
    </w:p>
    <w:p w:rsidR="00386071" w:rsidRDefault="00AA7D01" w:rsidP="00A841D5">
      <w:pPr>
        <w:pStyle w:val="ListParagraph"/>
        <w:numPr>
          <w:ilvl w:val="0"/>
          <w:numId w:val="1"/>
        </w:numPr>
      </w:pPr>
      <w:r>
        <w:t>The generalized likelihood ratio test provides a reasonable test, whose test statistic is the likelihood ratio, and whose distribution under the null hypothesis is χ</w:t>
      </w:r>
      <w:r w:rsidRPr="00A841D5">
        <w:rPr>
          <w:vertAlign w:val="superscript"/>
        </w:rPr>
        <w:t>2</w:t>
      </w:r>
      <w:r>
        <w:t xml:space="preserve">(r), where r parameters are fixed under the null. </w:t>
      </w:r>
      <w:r w:rsidR="00386071">
        <w:br w:type="page"/>
      </w:r>
    </w:p>
    <w:p w:rsidR="00386071" w:rsidRDefault="00386071" w:rsidP="00B15217">
      <w:r>
        <w:rPr>
          <w:noProof/>
        </w:rPr>
        <w:lastRenderedPageBreak/>
        <w:drawing>
          <wp:inline distT="0" distB="0" distL="0" distR="0" wp14:anchorId="6DF39EFA" wp14:editId="27638E71">
            <wp:extent cx="5705475" cy="8162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071" w:rsidRDefault="00386071">
      <w:r>
        <w:rPr>
          <w:noProof/>
        </w:rPr>
        <w:lastRenderedPageBreak/>
        <w:drawing>
          <wp:inline distT="0" distB="0" distL="0" distR="0" wp14:anchorId="4E97856D" wp14:editId="52C6EE6A">
            <wp:extent cx="5943600" cy="51390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386071" w:rsidRDefault="00386071" w:rsidP="00B15217">
      <w:r>
        <w:rPr>
          <w:noProof/>
        </w:rPr>
        <w:lastRenderedPageBreak/>
        <w:drawing>
          <wp:inline distT="0" distB="0" distL="0" distR="0" wp14:anchorId="4A80AA4A" wp14:editId="5A253F8E">
            <wp:extent cx="5943600" cy="59162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D28A4"/>
    <w:multiLevelType w:val="hybridMultilevel"/>
    <w:tmpl w:val="9ED6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34"/>
    <w:rsid w:val="00034E6C"/>
    <w:rsid w:val="00292BD6"/>
    <w:rsid w:val="002D4C04"/>
    <w:rsid w:val="00386071"/>
    <w:rsid w:val="00544334"/>
    <w:rsid w:val="009A1E01"/>
    <w:rsid w:val="00A841D5"/>
    <w:rsid w:val="00AA7D01"/>
    <w:rsid w:val="00AE2DA5"/>
    <w:rsid w:val="00B15217"/>
    <w:rsid w:val="00B7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23C4"/>
  <w15:chartTrackingRefBased/>
  <w15:docId w15:val="{F6C5F690-58C7-442C-9F8A-333C4407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5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76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1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5</cp:revision>
  <dcterms:created xsi:type="dcterms:W3CDTF">2018-10-17T01:27:00Z</dcterms:created>
  <dcterms:modified xsi:type="dcterms:W3CDTF">2018-10-17T02:26:00Z</dcterms:modified>
</cp:coreProperties>
</file>